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7"/>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sidR="00CE177C">
        <w:rPr>
          <w:rFonts w:eastAsia="宋体" w:cs="Arial"/>
          <w:sz w:val="24"/>
          <w:szCs w:val="24"/>
          <w:lang w:val="en-US" w:eastAsia="zh-CN"/>
        </w:rPr>
        <w:t>8bis</w:t>
      </w:r>
      <w:r>
        <w:rPr>
          <w:rFonts w:eastAsia="宋体" w:cs="Arial" w:hint="eastAsia"/>
          <w:sz w:val="24"/>
          <w:szCs w:val="24"/>
          <w:lang w:val="en-US" w:eastAsia="zh-CN"/>
        </w:rPr>
        <w:t xml:space="preserve">                                           </w:t>
      </w:r>
      <w:r w:rsidR="00473FD9">
        <w:rPr>
          <w:rFonts w:eastAsia="宋体" w:cs="Arial"/>
          <w:sz w:val="24"/>
          <w:szCs w:val="24"/>
          <w:lang w:val="en-US" w:eastAsia="zh-CN"/>
        </w:rPr>
        <w:t xml:space="preserve">        </w:t>
      </w:r>
      <w:r>
        <w:rPr>
          <w:rFonts w:eastAsia="宋体" w:cs="Arial" w:hint="eastAsia"/>
          <w:sz w:val="24"/>
          <w:szCs w:val="24"/>
          <w:lang w:val="en-US" w:eastAsia="zh-CN"/>
        </w:rPr>
        <w:t xml:space="preserve">       </w:t>
      </w:r>
      <w:r>
        <w:rPr>
          <w:rFonts w:cs="Arial" w:hint="eastAsia"/>
          <w:sz w:val="24"/>
          <w:szCs w:val="24"/>
        </w:rPr>
        <w:t>R4-2</w:t>
      </w:r>
      <w:r w:rsidR="00CE177C">
        <w:rPr>
          <w:rFonts w:cs="Arial"/>
          <w:sz w:val="24"/>
          <w:szCs w:val="24"/>
        </w:rPr>
        <w:t>3</w:t>
      </w:r>
      <w:r w:rsidR="00C54AB8">
        <w:rPr>
          <w:rFonts w:cs="Arial"/>
          <w:sz w:val="24"/>
          <w:szCs w:val="24"/>
        </w:rPr>
        <w:t>16692</w:t>
      </w:r>
      <w:bookmarkStart w:id="3" w:name="_GoBack"/>
      <w:bookmarkEnd w:id="3"/>
    </w:p>
    <w:p w:rsidR="00CC5BBF" w:rsidRDefault="00CE177C">
      <w:pPr>
        <w:pStyle w:val="af7"/>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Xiamen</w:t>
      </w:r>
      <w:r w:rsidR="00351C2A">
        <w:rPr>
          <w:rFonts w:eastAsia="宋体"/>
          <w:sz w:val="24"/>
          <w:szCs w:val="24"/>
          <w:lang w:eastAsia="zh-CN"/>
        </w:rPr>
        <w:t xml:space="preserve">, </w:t>
      </w:r>
      <w:r>
        <w:rPr>
          <w:rFonts w:eastAsia="宋体"/>
          <w:sz w:val="24"/>
          <w:szCs w:val="24"/>
          <w:lang w:eastAsia="zh-CN"/>
        </w:rPr>
        <w:t>China, October</w:t>
      </w:r>
      <w:r w:rsidR="00473FD9">
        <w:rPr>
          <w:rFonts w:eastAsia="宋体"/>
          <w:sz w:val="24"/>
          <w:szCs w:val="24"/>
          <w:lang w:eastAsia="zh-CN"/>
        </w:rPr>
        <w:t xml:space="preserve"> </w:t>
      </w:r>
      <w:r>
        <w:rPr>
          <w:rFonts w:eastAsia="宋体"/>
          <w:sz w:val="24"/>
          <w:szCs w:val="24"/>
          <w:lang w:eastAsia="zh-CN"/>
        </w:rPr>
        <w:t>09</w:t>
      </w:r>
      <w:r w:rsidR="00473FD9">
        <w:rPr>
          <w:rFonts w:eastAsia="宋体"/>
          <w:sz w:val="24"/>
          <w:szCs w:val="24"/>
          <w:lang w:eastAsia="zh-CN"/>
        </w:rPr>
        <w:t xml:space="preserve"> – </w:t>
      </w:r>
      <w:r>
        <w:rPr>
          <w:rFonts w:eastAsia="宋体"/>
          <w:sz w:val="24"/>
          <w:szCs w:val="24"/>
          <w:lang w:eastAsia="zh-CN"/>
        </w:rPr>
        <w:t>1</w:t>
      </w:r>
      <w:r w:rsidR="00473FD9">
        <w:rPr>
          <w:rFonts w:eastAsia="宋体"/>
          <w:sz w:val="24"/>
          <w:szCs w:val="24"/>
          <w:lang w:eastAsia="zh-CN"/>
        </w:rPr>
        <w:t>3</w:t>
      </w:r>
      <w:r w:rsidR="00351C2A">
        <w:rPr>
          <w:rFonts w:eastAsia="宋体"/>
          <w:sz w:val="24"/>
          <w:szCs w:val="24"/>
          <w:lang w:eastAsia="zh-CN"/>
        </w:rPr>
        <w:t>, 202</w:t>
      </w:r>
      <w:r>
        <w:rPr>
          <w:rFonts w:eastAsia="宋体"/>
          <w:sz w:val="24"/>
          <w:szCs w:val="24"/>
          <w:lang w:eastAsia="zh-CN"/>
        </w:rPr>
        <w:t>3</w:t>
      </w:r>
    </w:p>
    <w:p w:rsidR="00CC5BBF" w:rsidRDefault="00CC5BBF">
      <w:pPr>
        <w:pStyle w:val="af7"/>
        <w:keepNext/>
        <w:keepLines/>
        <w:tabs>
          <w:tab w:val="right" w:pos="10440"/>
          <w:tab w:val="right" w:pos="13323"/>
        </w:tabs>
        <w:spacing w:after="0"/>
        <w:rPr>
          <w:rFonts w:cs="Arial"/>
          <w:szCs w:val="18"/>
          <w:lang w:val="en-US" w:eastAsia="zh-CN"/>
        </w:rPr>
      </w:pPr>
    </w:p>
    <w:p w:rsidR="00CC5BBF" w:rsidRDefault="00351C2A">
      <w:pPr>
        <w:pStyle w:val="af7"/>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Pr="00BA00C7" w:rsidRDefault="00351C2A">
      <w:pPr>
        <w:pStyle w:val="af7"/>
        <w:keepNext/>
        <w:keepLines/>
        <w:spacing w:before="180" w:after="120"/>
        <w:ind w:left="2127" w:hanging="2127"/>
        <w:jc w:val="both"/>
        <w:rPr>
          <w:b w:val="0"/>
          <w:bCs/>
          <w:sz w:val="20"/>
          <w:lang w:val="en-US" w:eastAsia="zh-CN"/>
        </w:rPr>
      </w:pPr>
      <w:r>
        <w:rPr>
          <w:rFonts w:cs="Arial"/>
          <w:sz w:val="20"/>
          <w:lang w:val="en-US" w:eastAsia="zh-CN"/>
        </w:rPr>
        <w:t>Title:</w:t>
      </w:r>
      <w:r>
        <w:rPr>
          <w:rFonts w:cs="Arial"/>
          <w:sz w:val="20"/>
          <w:lang w:val="en-US" w:eastAsia="zh-CN"/>
        </w:rPr>
        <w:tab/>
      </w:r>
      <w:r w:rsidR="00BA00C7">
        <w:rPr>
          <w:b w:val="0"/>
          <w:bCs/>
          <w:sz w:val="20"/>
          <w:lang w:val="en-US" w:eastAsia="zh-CN"/>
        </w:rPr>
        <w:t xml:space="preserve">Motivation on </w:t>
      </w:r>
      <w:r w:rsidR="00CE177C">
        <w:rPr>
          <w:b w:val="0"/>
          <w:bCs/>
          <w:sz w:val="20"/>
          <w:lang w:val="en-US" w:eastAsia="zh-CN"/>
        </w:rPr>
        <w:t xml:space="preserve">Rel-19 WID for further simplification </w:t>
      </w:r>
      <w:r w:rsidR="00473FD9">
        <w:rPr>
          <w:b w:val="0"/>
          <w:bCs/>
          <w:sz w:val="20"/>
          <w:lang w:val="en-US" w:eastAsia="zh-CN"/>
        </w:rPr>
        <w:t>of band combination specification</w:t>
      </w:r>
    </w:p>
    <w:p w:rsidR="00CC5BBF" w:rsidRDefault="00351C2A">
      <w:pPr>
        <w:pStyle w:val="af7"/>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CE177C">
        <w:rPr>
          <w:rFonts w:cs="Arial"/>
          <w:b w:val="0"/>
          <w:bCs/>
          <w:sz w:val="20"/>
          <w:lang w:val="en-US" w:eastAsia="zh-CN"/>
        </w:rPr>
        <w:t>10</w:t>
      </w:r>
    </w:p>
    <w:p w:rsidR="00CC5BBF" w:rsidRDefault="00351C2A">
      <w:pPr>
        <w:pStyle w:val="af7"/>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sidR="009502DD">
        <w:rPr>
          <w:rFonts w:eastAsia="宋体" w:cs="Arial" w:hint="eastAsia"/>
          <w:b w:val="0"/>
          <w:sz w:val="20"/>
          <w:lang w:val="en-US" w:eastAsia="zh-CN"/>
        </w:rPr>
        <w:t>In</w:t>
      </w:r>
      <w:r w:rsidR="009502DD">
        <w:rPr>
          <w:rFonts w:eastAsia="宋体" w:cs="Arial"/>
          <w:b w:val="0"/>
          <w:sz w:val="20"/>
          <w:lang w:val="en-US" w:eastAsia="zh-CN"/>
        </w:rPr>
        <w:t>formation</w:t>
      </w:r>
    </w:p>
    <w:p w:rsidR="008E22C2" w:rsidRDefault="008E22C2">
      <w:pPr>
        <w:pStyle w:val="af7"/>
        <w:keepNext/>
        <w:keepLines/>
        <w:tabs>
          <w:tab w:val="left" w:pos="2160"/>
        </w:tabs>
        <w:spacing w:before="180" w:after="120"/>
        <w:ind w:left="2610" w:hanging="2610"/>
        <w:jc w:val="both"/>
        <w:rPr>
          <w:rFonts w:eastAsia="宋体" w:cs="Arial"/>
          <w:sz w:val="20"/>
          <w:lang w:eastAsia="zh-CN"/>
        </w:rPr>
      </w:pPr>
    </w:p>
    <w:p w:rsidR="00CC5BBF" w:rsidRDefault="00351C2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5A54E5" w:rsidRDefault="00932DCF" w:rsidP="009B1E95">
      <w:pPr>
        <w:spacing w:after="120"/>
        <w:rPr>
          <w:rFonts w:eastAsia="宋体"/>
          <w:sz w:val="20"/>
          <w:lang w:val="en-US" w:eastAsia="zh-CN"/>
        </w:rPr>
      </w:pPr>
      <w:r>
        <w:rPr>
          <w:rFonts w:eastAsia="宋体"/>
          <w:sz w:val="20"/>
          <w:lang w:val="en-US" w:eastAsia="zh-CN"/>
        </w:rPr>
        <w:t xml:space="preserve">Due </w:t>
      </w:r>
      <w:r w:rsidR="00336BDD">
        <w:rPr>
          <w:rFonts w:eastAsia="宋体"/>
          <w:sz w:val="20"/>
          <w:lang w:val="en-US" w:eastAsia="zh-CN"/>
        </w:rPr>
        <w:t>to the simplification</w:t>
      </w:r>
      <w:r>
        <w:rPr>
          <w:rFonts w:eastAsia="宋体"/>
          <w:sz w:val="20"/>
          <w:lang w:val="en-US" w:eastAsia="zh-CN"/>
        </w:rPr>
        <w:t xml:space="preserve"> requirements from RAN4, a </w:t>
      </w:r>
      <w:r w:rsidR="00CE177C">
        <w:rPr>
          <w:rFonts w:eastAsia="宋体"/>
          <w:sz w:val="20"/>
          <w:lang w:val="en-US" w:eastAsia="zh-CN"/>
        </w:rPr>
        <w:t>Rel-18</w:t>
      </w:r>
      <w:r>
        <w:rPr>
          <w:rFonts w:eastAsia="宋体"/>
          <w:sz w:val="20"/>
          <w:lang w:val="en-US" w:eastAsia="zh-CN"/>
        </w:rPr>
        <w:t xml:space="preserve"> study item</w:t>
      </w:r>
      <w:r w:rsidR="00EB6E13" w:rsidRPr="00EB6E13">
        <w:rPr>
          <w:rFonts w:eastAsia="宋体"/>
          <w:sz w:val="20"/>
          <w:lang w:val="en-US" w:eastAsia="zh-CN"/>
        </w:rPr>
        <w:t xml:space="preserve"> on </w:t>
      </w:r>
      <w:r w:rsidR="005D0328">
        <w:rPr>
          <w:rFonts w:eastAsia="宋体"/>
          <w:sz w:val="20"/>
          <w:lang w:val="en-US" w:eastAsia="zh-CN"/>
        </w:rPr>
        <w:t xml:space="preserve">simplification of </w:t>
      </w:r>
      <w:r w:rsidR="00EB6E13" w:rsidRPr="00EB6E13">
        <w:rPr>
          <w:rFonts w:eastAsia="宋体"/>
          <w:sz w:val="20"/>
          <w:lang w:val="en-US" w:eastAsia="zh-CN"/>
        </w:rPr>
        <w:t xml:space="preserve">band combination </w:t>
      </w:r>
      <w:r w:rsidR="005D0328">
        <w:rPr>
          <w:rFonts w:eastAsia="宋体"/>
          <w:sz w:val="20"/>
          <w:lang w:val="en-US" w:eastAsia="zh-CN"/>
        </w:rPr>
        <w:t xml:space="preserve">specification for NR and LTE was </w:t>
      </w:r>
      <w:r>
        <w:rPr>
          <w:rFonts w:eastAsia="宋体"/>
          <w:sz w:val="20"/>
          <w:lang w:val="en-US" w:eastAsia="zh-CN"/>
        </w:rPr>
        <w:t xml:space="preserve">built and </w:t>
      </w:r>
      <w:r w:rsidR="005D0328">
        <w:rPr>
          <w:rFonts w:eastAsia="宋体"/>
          <w:sz w:val="20"/>
          <w:lang w:val="en-US" w:eastAsia="zh-CN"/>
        </w:rPr>
        <w:t xml:space="preserve">the completion level </w:t>
      </w:r>
      <w:r>
        <w:rPr>
          <w:rFonts w:eastAsia="宋体"/>
          <w:sz w:val="20"/>
          <w:lang w:val="en-US" w:eastAsia="zh-CN"/>
        </w:rPr>
        <w:t xml:space="preserve">at </w:t>
      </w:r>
      <w:r w:rsidR="005D0328">
        <w:rPr>
          <w:rFonts w:eastAsia="宋体"/>
          <w:sz w:val="20"/>
          <w:lang w:val="en-US" w:eastAsia="zh-CN"/>
        </w:rPr>
        <w:t xml:space="preserve">RAN#101 </w:t>
      </w:r>
      <w:r>
        <w:rPr>
          <w:rFonts w:eastAsia="宋体"/>
          <w:sz w:val="20"/>
          <w:lang w:val="en-US" w:eastAsia="zh-CN"/>
        </w:rPr>
        <w:t xml:space="preserve">was reported as 95% </w:t>
      </w:r>
      <w:r w:rsidR="005D0328">
        <w:rPr>
          <w:rFonts w:eastAsia="宋体"/>
          <w:sz w:val="20"/>
          <w:lang w:val="en-US" w:eastAsia="zh-CN"/>
        </w:rPr>
        <w:t>[1]</w:t>
      </w:r>
      <w:r>
        <w:rPr>
          <w:rFonts w:eastAsia="宋体"/>
          <w:sz w:val="20"/>
          <w:lang w:val="en-US" w:eastAsia="zh-CN"/>
        </w:rPr>
        <w:t>. The SI</w:t>
      </w:r>
      <w:r w:rsidR="005D0328">
        <w:rPr>
          <w:rFonts w:eastAsia="宋体"/>
          <w:sz w:val="20"/>
          <w:lang w:val="en-US" w:eastAsia="zh-CN"/>
        </w:rPr>
        <w:t xml:space="preserve"> is </w:t>
      </w:r>
      <w:r w:rsidR="005A54E5">
        <w:rPr>
          <w:rFonts w:eastAsia="宋体"/>
          <w:sz w:val="20"/>
          <w:lang w:val="en-US" w:eastAsia="zh-CN"/>
        </w:rPr>
        <w:t>expected</w:t>
      </w:r>
      <w:r w:rsidR="005D0328">
        <w:rPr>
          <w:rFonts w:eastAsia="宋体"/>
          <w:sz w:val="20"/>
          <w:lang w:val="en-US" w:eastAsia="zh-CN"/>
        </w:rPr>
        <w:t xml:space="preserve"> </w:t>
      </w:r>
      <w:r w:rsidR="005A54E5">
        <w:rPr>
          <w:rFonts w:eastAsia="宋体"/>
          <w:sz w:val="20"/>
          <w:lang w:val="en-US" w:eastAsia="zh-CN"/>
        </w:rPr>
        <w:t>to be completed by the end of 2023.</w:t>
      </w:r>
      <w:r>
        <w:rPr>
          <w:rFonts w:eastAsia="宋体"/>
          <w:sz w:val="20"/>
          <w:lang w:val="en-US" w:eastAsia="zh-CN"/>
        </w:rPr>
        <w:t xml:space="preserve"> It is suggested</w:t>
      </w:r>
      <w:r w:rsidR="00EC3405">
        <w:rPr>
          <w:rFonts w:eastAsia="宋体"/>
          <w:sz w:val="20"/>
          <w:lang w:val="en-US" w:eastAsia="zh-CN"/>
        </w:rPr>
        <w:t xml:space="preserve"> to set up a</w:t>
      </w:r>
      <w:r>
        <w:rPr>
          <w:rFonts w:eastAsia="宋体"/>
          <w:sz w:val="20"/>
          <w:lang w:val="en-US" w:eastAsia="zh-CN"/>
        </w:rPr>
        <w:t xml:space="preserve"> follow-up WI for the study item for simplification of band combination specification for NR and LTE</w:t>
      </w:r>
      <w:r w:rsidR="00EC3405">
        <w:rPr>
          <w:rFonts w:eastAsia="宋体"/>
          <w:sz w:val="20"/>
          <w:lang w:val="en-US" w:eastAsia="zh-CN"/>
        </w:rPr>
        <w:t xml:space="preserve"> in the stage of Rel-19</w:t>
      </w:r>
      <w:r>
        <w:rPr>
          <w:rFonts w:eastAsia="宋体"/>
          <w:sz w:val="20"/>
          <w:lang w:val="en-US" w:eastAsia="zh-CN"/>
        </w:rPr>
        <w:t>.</w:t>
      </w:r>
    </w:p>
    <w:p w:rsidR="00563C5B" w:rsidRDefault="00E37C8B" w:rsidP="009B1E95">
      <w:pPr>
        <w:spacing w:after="120"/>
        <w:rPr>
          <w:rFonts w:eastAsia="宋体"/>
          <w:sz w:val="20"/>
          <w:lang w:val="en-US" w:eastAsia="zh-CN"/>
        </w:rPr>
      </w:pPr>
      <w:r w:rsidRPr="00563C5B">
        <w:rPr>
          <w:rFonts w:eastAsia="宋体"/>
          <w:noProof/>
          <w:sz w:val="20"/>
          <w:lang w:val="en-US" w:eastAsia="zh-CN"/>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222885</wp:posOffset>
                </wp:positionV>
                <wp:extent cx="5962650" cy="3803650"/>
                <wp:effectExtent l="0" t="0" r="1905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3803650"/>
                        </a:xfrm>
                        <a:prstGeom prst="rect">
                          <a:avLst/>
                        </a:prstGeom>
                        <a:solidFill>
                          <a:srgbClr val="FFFFFF"/>
                        </a:solidFill>
                        <a:ln w="9525">
                          <a:solidFill>
                            <a:srgbClr val="000000"/>
                          </a:solidFill>
                          <a:miter lim="800000"/>
                          <a:headEnd/>
                          <a:tailEnd/>
                        </a:ln>
                      </wps:spPr>
                      <wps:txbx>
                        <w:txbxContent>
                          <w:p w:rsidR="00563C5B" w:rsidRPr="001C6455" w:rsidRDefault="00563C5B" w:rsidP="00563C5B">
                            <w:pPr>
                              <w:pStyle w:val="affe"/>
                              <w:widowControl w:val="0"/>
                              <w:numPr>
                                <w:ilvl w:val="0"/>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Investigate and simplify the working procedure for approving documents for TS and TR to improve the efficiency to specify band combinations and the quality of specifications</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Improve the efficiency considering</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RAN4 reduces the redundant and unnecessary work for big CRs, draft CRs and/or TPs, if any</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The following rules will be investigated and defined if necessary</w:t>
                            </w:r>
                          </w:p>
                          <w:p w:rsidR="00563C5B" w:rsidRPr="001C6455" w:rsidRDefault="00563C5B" w:rsidP="001C6455">
                            <w:pPr>
                              <w:pStyle w:val="affe"/>
                              <w:widowControl w:val="0"/>
                              <w:numPr>
                                <w:ilvl w:val="3"/>
                                <w:numId w:val="35"/>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Investigate whether the workflow can be improved under the condition that quality can be guaranteed.</w:t>
                            </w:r>
                          </w:p>
                          <w:p w:rsidR="00563C5B" w:rsidRPr="001C6455" w:rsidRDefault="00563C5B" w:rsidP="001C6455">
                            <w:pPr>
                              <w:pStyle w:val="affe"/>
                              <w:widowControl w:val="0"/>
                              <w:numPr>
                                <w:ilvl w:val="3"/>
                                <w:numId w:val="35"/>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Develop rules or guidelines covering the process of not for block approval.</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Develop the necessary tools to reduce RAN4’s workloads if feasible</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Improve the quality considering</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RAN4 improves the procedures for cross-checking to avoid conflict between big CR/CRs across basket WIs and other WIs</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bookmarkStart w:id="4" w:name="OLE_LINK1"/>
                            <w:bookmarkStart w:id="5" w:name="OLE_LINK2"/>
                            <w:bookmarkStart w:id="6" w:name="OLE_LINK3"/>
                            <w:r w:rsidRPr="001C6455">
                              <w:rPr>
                                <w:rFonts w:ascii="Times New Roman" w:hAnsi="Times New Roman" w:cs="Times New Roman"/>
                                <w:sz w:val="18"/>
                                <w:szCs w:val="18"/>
                              </w:rPr>
                              <w:t xml:space="preserve">RAN4 captures the agreements about the rules and guidelines including </w:t>
                            </w:r>
                            <w:r w:rsidRPr="001C6455">
                              <w:rPr>
                                <w:rFonts w:ascii="Times New Roman" w:hAnsi="Times New Roman" w:cs="Times New Roman"/>
                                <w:sz w:val="18"/>
                                <w:szCs w:val="18"/>
                                <w:u w:val="single"/>
                              </w:rPr>
                              <w:t>but not being limited to</w:t>
                            </w:r>
                            <w:r w:rsidRPr="001C6455">
                              <w:rPr>
                                <w:rFonts w:ascii="Times New Roman" w:hAnsi="Times New Roman" w:cs="Times New Roman"/>
                                <w:sz w:val="18"/>
                                <w:szCs w:val="18"/>
                              </w:rPr>
                              <w:t xml:space="preserve"> the outcome of the above sub-bullets in the corresponding TR</w:t>
                            </w:r>
                            <w:bookmarkEnd w:id="4"/>
                            <w:bookmarkEnd w:id="5"/>
                            <w:bookmarkEnd w:id="6"/>
                          </w:p>
                          <w:p w:rsidR="00563C5B" w:rsidRPr="001C6455" w:rsidRDefault="00563C5B" w:rsidP="00563C5B">
                            <w:pPr>
                              <w:pStyle w:val="affe"/>
                              <w:widowControl w:val="0"/>
                              <w:numPr>
                                <w:ilvl w:val="0"/>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Investigate the feasibility and optimize the specification structure and reduce the test burden</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Study the methodology to simplify the test efforts for a UE supporting multiple features, e.g., NR-CA, EN-DC on the same band combination</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Study of similarity and dependency of RF requirements for different features on the same band combination</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Study the methodology to simplify RF requirement specifications for</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MSD requirements in 38.101-1 and 38.101-3, e.g., reducing the test configurations with different bandwidth combinations</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For Delta_TIB and Delta_RIB requirements, investigate and define the framework of the general principle or requirements with band-combination specific exceptions</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For Delta_TC,c, investigate whether it can be removed in low boundary formula for Pcmax</w:t>
                            </w:r>
                          </w:p>
                          <w:p w:rsidR="00563C5B" w:rsidRPr="001C6455" w:rsidRDefault="00563C5B" w:rsidP="00563C5B">
                            <w:pPr>
                              <w:pStyle w:val="affe"/>
                              <w:widowControl w:val="0"/>
                              <w:numPr>
                                <w:ilvl w:val="0"/>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Investigate the relationship between the Rel-17 TR 38.862 and Rel-18 TR 38.846:</w:t>
                            </w:r>
                          </w:p>
                          <w:p w:rsidR="00563C5B" w:rsidRPr="001C6455" w:rsidRDefault="00563C5B" w:rsidP="00563C5B">
                            <w:pPr>
                              <w:pStyle w:val="affe"/>
                              <w:widowControl w:val="0"/>
                              <w:numPr>
                                <w:ilvl w:val="1"/>
                                <w:numId w:val="34"/>
                              </w:numPr>
                              <w:adjustRightInd w:val="0"/>
                              <w:ind w:firstLineChars="0"/>
                              <w:jc w:val="both"/>
                              <w:rPr>
                                <w:rFonts w:ascii="Times New Roman" w:eastAsia="等线" w:hAnsi="Times New Roman" w:cs="Times New Roman"/>
                                <w:sz w:val="18"/>
                                <w:szCs w:val="18"/>
                              </w:rPr>
                            </w:pPr>
                            <w:r w:rsidRPr="001C6455">
                              <w:rPr>
                                <w:rFonts w:ascii="Times New Roman" w:eastAsia="等线" w:hAnsi="Times New Roman" w:cs="Times New Roman"/>
                                <w:sz w:val="18"/>
                                <w:szCs w:val="18"/>
                              </w:rPr>
                              <w:t>Handle the common rules or guidelines captured in TR 38.862 which are also applicable to TR 38.846.</w:t>
                            </w:r>
                          </w:p>
                          <w:p w:rsidR="00E37C8B" w:rsidRPr="001C6455" w:rsidRDefault="00E37C8B" w:rsidP="00E37C8B">
                            <w:pPr>
                              <w:pStyle w:val="affe"/>
                              <w:widowControl w:val="0"/>
                              <w:numPr>
                                <w:ilvl w:val="0"/>
                                <w:numId w:val="34"/>
                              </w:numPr>
                              <w:adjustRightInd w:val="0"/>
                              <w:spacing w:beforeLines="50" w:before="120"/>
                              <w:ind w:firstLineChars="0"/>
                              <w:jc w:val="both"/>
                              <w:rPr>
                                <w:rFonts w:ascii="Times New Roman" w:hAnsi="Times New Roman" w:cs="Times New Roman"/>
                                <w:sz w:val="18"/>
                                <w:szCs w:val="18"/>
                              </w:rPr>
                            </w:pPr>
                            <w:r w:rsidRPr="001C6455">
                              <w:rPr>
                                <w:rFonts w:ascii="Times New Roman" w:hAnsi="Times New Roman" w:cs="Times New Roman"/>
                                <w:sz w:val="18"/>
                                <w:szCs w:val="18"/>
                              </w:rPr>
                              <w:t>NOTE 1: The requirements applicable to UE won’t be changed or increased.</w:t>
                            </w:r>
                          </w:p>
                          <w:p w:rsidR="00563C5B" w:rsidRPr="001C6455" w:rsidRDefault="00E37C8B" w:rsidP="008B188D">
                            <w:pPr>
                              <w:pStyle w:val="affe"/>
                              <w:widowControl w:val="0"/>
                              <w:numPr>
                                <w:ilvl w:val="0"/>
                                <w:numId w:val="34"/>
                              </w:numPr>
                              <w:adjustRightInd w:val="0"/>
                              <w:ind w:firstLineChars="0"/>
                              <w:jc w:val="both"/>
                              <w:rPr>
                                <w:rFonts w:ascii="Times New Roman" w:hAnsi="Times New Roman" w:cs="Times New Roman"/>
                                <w:sz w:val="18"/>
                                <w:szCs w:val="18"/>
                                <w:lang w:val="en-GB"/>
                              </w:rPr>
                            </w:pPr>
                            <w:r w:rsidRPr="001C6455">
                              <w:rPr>
                                <w:rFonts w:ascii="Times New Roman" w:hAnsi="Times New Roman" w:cs="Times New Roman"/>
                                <w:sz w:val="18"/>
                                <w:szCs w:val="18"/>
                              </w:rPr>
                              <w:t>NOTE 2: The work should be applied to all the power classes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17.55pt;width:469.5pt;height:29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">
                <v:textbox>
                  <w:txbxContent>
                    <w:p w:rsidR="00563C5B" w:rsidRPr="001C6455" w:rsidRDefault="00563C5B" w:rsidP="00563C5B">
                      <w:pPr>
                        <w:pStyle w:val="affe"/>
                        <w:widowControl w:val="0"/>
                        <w:numPr>
                          <w:ilvl w:val="0"/>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Investigate and simplify the working procedure for approving documents for TS and TR to improve the efficiency to specify band combinations and the quality of specifications</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Improve the efficiency considering</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RAN4 reduces the redundant and unnecessary work for big CRs, draft CRs and/or TPs, if any</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The following rules will be investigated and defined if necessary</w:t>
                      </w:r>
                    </w:p>
                    <w:p w:rsidR="00563C5B" w:rsidRPr="001C6455" w:rsidRDefault="00563C5B" w:rsidP="001C6455">
                      <w:pPr>
                        <w:pStyle w:val="affe"/>
                        <w:widowControl w:val="0"/>
                        <w:numPr>
                          <w:ilvl w:val="3"/>
                          <w:numId w:val="35"/>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Investigate whether the workflow can be improved under the condition that quality can be guaranteed.</w:t>
                      </w:r>
                    </w:p>
                    <w:p w:rsidR="00563C5B" w:rsidRPr="001C6455" w:rsidRDefault="00563C5B" w:rsidP="001C6455">
                      <w:pPr>
                        <w:pStyle w:val="affe"/>
                        <w:widowControl w:val="0"/>
                        <w:numPr>
                          <w:ilvl w:val="3"/>
                          <w:numId w:val="35"/>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Develop rules or guidelines covering the process of not for block approval.</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Develop the necessary tools to reduce RAN4’s workloads if feasible</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Improve the quality considering</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RAN4 improves the procedures for cross-checking to avoid conflict between big CR/CRs across basket WIs and other WIs</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bookmarkStart w:id="6" w:name="OLE_LINK1"/>
                      <w:bookmarkStart w:id="7" w:name="OLE_LINK2"/>
                      <w:bookmarkStart w:id="8" w:name="OLE_LINK3"/>
                      <w:r w:rsidRPr="001C6455">
                        <w:rPr>
                          <w:rFonts w:ascii="Times New Roman" w:hAnsi="Times New Roman" w:cs="Times New Roman"/>
                          <w:sz w:val="18"/>
                          <w:szCs w:val="18"/>
                        </w:rPr>
                        <w:t xml:space="preserve">RAN4 captures the agreements about the rules and guidelines including </w:t>
                      </w:r>
                      <w:r w:rsidRPr="001C6455">
                        <w:rPr>
                          <w:rFonts w:ascii="Times New Roman" w:hAnsi="Times New Roman" w:cs="Times New Roman"/>
                          <w:sz w:val="18"/>
                          <w:szCs w:val="18"/>
                          <w:u w:val="single"/>
                        </w:rPr>
                        <w:t>but not being limited to</w:t>
                      </w:r>
                      <w:r w:rsidRPr="001C6455">
                        <w:rPr>
                          <w:rFonts w:ascii="Times New Roman" w:hAnsi="Times New Roman" w:cs="Times New Roman"/>
                          <w:sz w:val="18"/>
                          <w:szCs w:val="18"/>
                        </w:rPr>
                        <w:t xml:space="preserve"> the outcome of the above sub-bullets in the corresponding TR</w:t>
                      </w:r>
                      <w:bookmarkEnd w:id="6"/>
                      <w:bookmarkEnd w:id="7"/>
                      <w:bookmarkEnd w:id="8"/>
                    </w:p>
                    <w:p w:rsidR="00563C5B" w:rsidRPr="001C6455" w:rsidRDefault="00563C5B" w:rsidP="00563C5B">
                      <w:pPr>
                        <w:pStyle w:val="affe"/>
                        <w:widowControl w:val="0"/>
                        <w:numPr>
                          <w:ilvl w:val="0"/>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Investigate the feasibility and optimize the specification structure and reduce the test burden</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Study the methodology to simplify the test efforts for a UE supporting multiple features, e.g., NR-CA, EN-DC on the same band combination</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Study of similarity and dependency of RF requirements for different features on the same band combination</w:t>
                      </w:r>
                    </w:p>
                    <w:p w:rsidR="00563C5B" w:rsidRPr="001C6455" w:rsidRDefault="00563C5B" w:rsidP="00563C5B">
                      <w:pPr>
                        <w:pStyle w:val="affe"/>
                        <w:widowControl w:val="0"/>
                        <w:numPr>
                          <w:ilvl w:val="1"/>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Study the methodology to simplify RF requirement specifications for</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MSD requirements in 38.101-1 and 38.101-3, e.g., reducing the test configurations with different bandwidth combinations</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For Delta_TIB and Delta_RIB requirements, investigate and define the framework of the general principle or requirements with band-combination specific exceptions</w:t>
                      </w:r>
                    </w:p>
                    <w:p w:rsidR="00563C5B" w:rsidRPr="001C6455" w:rsidRDefault="00563C5B" w:rsidP="00563C5B">
                      <w:pPr>
                        <w:pStyle w:val="affe"/>
                        <w:widowControl w:val="0"/>
                        <w:numPr>
                          <w:ilvl w:val="2"/>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For Delta_TC,c, investigate whether it can be removed in low boundary formula for Pcmax</w:t>
                      </w:r>
                    </w:p>
                    <w:p w:rsidR="00563C5B" w:rsidRPr="001C6455" w:rsidRDefault="00563C5B" w:rsidP="00563C5B">
                      <w:pPr>
                        <w:pStyle w:val="affe"/>
                        <w:widowControl w:val="0"/>
                        <w:numPr>
                          <w:ilvl w:val="0"/>
                          <w:numId w:val="34"/>
                        </w:numPr>
                        <w:adjustRightInd w:val="0"/>
                        <w:ind w:firstLineChars="0"/>
                        <w:jc w:val="both"/>
                        <w:rPr>
                          <w:rFonts w:ascii="Times New Roman" w:hAnsi="Times New Roman" w:cs="Times New Roman"/>
                          <w:sz w:val="18"/>
                          <w:szCs w:val="18"/>
                        </w:rPr>
                      </w:pPr>
                      <w:r w:rsidRPr="001C6455">
                        <w:rPr>
                          <w:rFonts w:ascii="Times New Roman" w:hAnsi="Times New Roman" w:cs="Times New Roman"/>
                          <w:sz w:val="18"/>
                          <w:szCs w:val="18"/>
                        </w:rPr>
                        <w:t>Investigate the relationship between the Rel-17 TR 38.862 and Rel-18 TR 38.846:</w:t>
                      </w:r>
                    </w:p>
                    <w:p w:rsidR="00563C5B" w:rsidRPr="001C6455" w:rsidRDefault="00563C5B" w:rsidP="00563C5B">
                      <w:pPr>
                        <w:pStyle w:val="affe"/>
                        <w:widowControl w:val="0"/>
                        <w:numPr>
                          <w:ilvl w:val="1"/>
                          <w:numId w:val="34"/>
                        </w:numPr>
                        <w:adjustRightInd w:val="0"/>
                        <w:ind w:firstLineChars="0"/>
                        <w:jc w:val="both"/>
                        <w:rPr>
                          <w:rFonts w:ascii="Times New Roman" w:eastAsia="等线" w:hAnsi="Times New Roman" w:cs="Times New Roman"/>
                          <w:sz w:val="18"/>
                          <w:szCs w:val="18"/>
                        </w:rPr>
                      </w:pPr>
                      <w:r w:rsidRPr="001C6455">
                        <w:rPr>
                          <w:rFonts w:ascii="Times New Roman" w:eastAsia="等线" w:hAnsi="Times New Roman" w:cs="Times New Roman"/>
                          <w:sz w:val="18"/>
                          <w:szCs w:val="18"/>
                        </w:rPr>
                        <w:t>Handle the common rules or guidelines captured in TR 38.862 which are also applicable to TR 38.846.</w:t>
                      </w:r>
                    </w:p>
                    <w:p w:rsidR="00E37C8B" w:rsidRPr="001C6455" w:rsidRDefault="00E37C8B" w:rsidP="00E37C8B">
                      <w:pPr>
                        <w:pStyle w:val="affe"/>
                        <w:widowControl w:val="0"/>
                        <w:numPr>
                          <w:ilvl w:val="0"/>
                          <w:numId w:val="34"/>
                        </w:numPr>
                        <w:adjustRightInd w:val="0"/>
                        <w:spacing w:beforeLines="50" w:before="120"/>
                        <w:ind w:firstLineChars="0"/>
                        <w:jc w:val="both"/>
                        <w:rPr>
                          <w:rFonts w:ascii="Times New Roman" w:hAnsi="Times New Roman" w:cs="Times New Roman"/>
                          <w:sz w:val="18"/>
                          <w:szCs w:val="18"/>
                        </w:rPr>
                      </w:pPr>
                      <w:r w:rsidRPr="001C6455">
                        <w:rPr>
                          <w:rFonts w:ascii="Times New Roman" w:hAnsi="Times New Roman" w:cs="Times New Roman"/>
                          <w:sz w:val="18"/>
                          <w:szCs w:val="18"/>
                        </w:rPr>
                        <w:t>NOTE 1: The requirements applicable to UE won’t be changed or increased.</w:t>
                      </w:r>
                    </w:p>
                    <w:p w:rsidR="00563C5B" w:rsidRPr="001C6455" w:rsidRDefault="00E37C8B" w:rsidP="008B188D">
                      <w:pPr>
                        <w:pStyle w:val="affe"/>
                        <w:widowControl w:val="0"/>
                        <w:numPr>
                          <w:ilvl w:val="0"/>
                          <w:numId w:val="34"/>
                        </w:numPr>
                        <w:adjustRightInd w:val="0"/>
                        <w:ind w:firstLineChars="0"/>
                        <w:jc w:val="both"/>
                        <w:rPr>
                          <w:rFonts w:ascii="Times New Roman" w:hAnsi="Times New Roman" w:cs="Times New Roman"/>
                          <w:sz w:val="18"/>
                          <w:szCs w:val="18"/>
                          <w:lang w:val="en-GB"/>
                        </w:rPr>
                      </w:pPr>
                      <w:r w:rsidRPr="001C6455">
                        <w:rPr>
                          <w:rFonts w:ascii="Times New Roman" w:hAnsi="Times New Roman" w:cs="Times New Roman"/>
                          <w:sz w:val="18"/>
                          <w:szCs w:val="18"/>
                        </w:rPr>
                        <w:t>NOTE 2: The work should be applied to all the power classes</w:t>
                      </w:r>
                    </w:p>
                  </w:txbxContent>
                </v:textbox>
                <w10:wrap type="square" anchorx="margin"/>
              </v:shape>
            </w:pict>
          </mc:Fallback>
        </mc:AlternateContent>
      </w:r>
      <w:r>
        <w:rPr>
          <w:rFonts w:eastAsia="宋体"/>
          <w:sz w:val="20"/>
          <w:lang w:val="en-US" w:eastAsia="zh-CN"/>
        </w:rPr>
        <w:t>The objective</w:t>
      </w:r>
      <w:r w:rsidR="00563C5B">
        <w:rPr>
          <w:rFonts w:eastAsia="宋体"/>
          <w:sz w:val="20"/>
          <w:lang w:val="en-US" w:eastAsia="zh-CN"/>
        </w:rPr>
        <w:t xml:space="preserve"> of </w:t>
      </w:r>
      <w:r>
        <w:rPr>
          <w:rFonts w:eastAsia="宋体"/>
          <w:sz w:val="20"/>
          <w:lang w:val="en-US" w:eastAsia="zh-CN"/>
        </w:rPr>
        <w:t xml:space="preserve">the </w:t>
      </w:r>
      <w:r w:rsidR="00563C5B">
        <w:rPr>
          <w:rFonts w:eastAsia="宋体"/>
          <w:sz w:val="20"/>
          <w:lang w:val="en-US" w:eastAsia="zh-CN"/>
        </w:rPr>
        <w:t xml:space="preserve">SI FS_SimBC </w:t>
      </w:r>
      <w:r>
        <w:rPr>
          <w:rFonts w:eastAsia="宋体"/>
          <w:sz w:val="20"/>
          <w:lang w:val="en-US" w:eastAsia="zh-CN"/>
        </w:rPr>
        <w:t xml:space="preserve">in Rel-18 </w:t>
      </w:r>
      <w:r w:rsidR="00563C5B">
        <w:rPr>
          <w:rFonts w:eastAsia="宋体"/>
          <w:sz w:val="20"/>
          <w:lang w:val="en-US" w:eastAsia="zh-CN"/>
        </w:rPr>
        <w:t>include</w:t>
      </w:r>
      <w:r>
        <w:rPr>
          <w:rFonts w:eastAsia="宋体"/>
          <w:sz w:val="20"/>
          <w:lang w:val="en-US" w:eastAsia="zh-CN"/>
        </w:rPr>
        <w:t>s</w:t>
      </w:r>
      <w:r w:rsidR="00563C5B">
        <w:rPr>
          <w:rFonts w:eastAsia="宋体"/>
          <w:sz w:val="20"/>
          <w:lang w:val="en-US" w:eastAsia="zh-CN"/>
        </w:rPr>
        <w:t>,</w:t>
      </w:r>
    </w:p>
    <w:p w:rsidR="00AF7533" w:rsidRDefault="00AF7533" w:rsidP="00AF7533">
      <w:pPr>
        <w:spacing w:after="120"/>
        <w:rPr>
          <w:rFonts w:eastAsia="宋体"/>
          <w:b/>
          <w:sz w:val="24"/>
          <w:szCs w:val="24"/>
          <w:lang w:val="en-US" w:eastAsia="zh-CN"/>
        </w:rPr>
      </w:pPr>
    </w:p>
    <w:p w:rsidR="003236A8" w:rsidRDefault="003236A8" w:rsidP="003236A8">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t xml:space="preserve">Motivation of </w:t>
      </w:r>
      <w:r w:rsidR="00260E28">
        <w:rPr>
          <w:rFonts w:ascii="Times New Roman" w:eastAsia="宋体" w:hAnsi="Times New Roman"/>
          <w:b/>
          <w:sz w:val="24"/>
          <w:szCs w:val="24"/>
          <w:lang w:val="en-US" w:eastAsia="zh-CN"/>
        </w:rPr>
        <w:t>new WI in Rel-19</w:t>
      </w:r>
    </w:p>
    <w:p w:rsidR="006F39CD" w:rsidRDefault="0015528C" w:rsidP="00260E28">
      <w:pPr>
        <w:spacing w:after="120"/>
        <w:rPr>
          <w:rFonts w:eastAsia="宋体"/>
          <w:sz w:val="20"/>
          <w:lang w:val="en-US" w:eastAsia="zh-CN"/>
        </w:rPr>
      </w:pPr>
      <w:r>
        <w:rPr>
          <w:rFonts w:eastAsia="宋体"/>
          <w:sz w:val="20"/>
          <w:lang w:val="en-US" w:eastAsia="zh-CN"/>
        </w:rPr>
        <w:t>During the study of FS_SimBC, the working procedure to specify the band combinations has been refined and the quality of specification has been improved to some extent. A set of new guidance on band combination handling, rule collections and band combination optimization for RAN4 specifications have been approved under the framework of SI. It is expected that the simplification of band combination and rule collection would be continued in the stage of Rel-19.</w:t>
      </w:r>
      <w:r w:rsidR="00804217">
        <w:rPr>
          <w:rFonts w:eastAsia="宋体"/>
          <w:sz w:val="20"/>
          <w:lang w:val="en-US" w:eastAsia="zh-CN"/>
        </w:rPr>
        <w:t xml:space="preserve"> Based on the previous discussion in Rel-18, companies believe that an ongoing TR is beneficial to specify band combination. Like the work in Rel-18 to investigate the relationship between the Rel-17 TR 38.862 and Rel-18 TR 38.846, a new TR for Rel-19 is suggested to </w:t>
      </w:r>
      <w:r w:rsidR="00A80CC6">
        <w:rPr>
          <w:rFonts w:eastAsia="宋体"/>
          <w:sz w:val="20"/>
          <w:lang w:val="en-US" w:eastAsia="zh-CN"/>
        </w:rPr>
        <w:t>be created for handling</w:t>
      </w:r>
      <w:r w:rsidR="00804217">
        <w:rPr>
          <w:rFonts w:eastAsia="宋体"/>
          <w:sz w:val="20"/>
          <w:lang w:val="en-US" w:eastAsia="zh-CN"/>
        </w:rPr>
        <w:t xml:space="preserve"> the common rules or guidelines captured in </w:t>
      </w:r>
      <w:r w:rsidR="00537521">
        <w:rPr>
          <w:rFonts w:eastAsia="宋体"/>
          <w:sz w:val="20"/>
          <w:lang w:val="en-US" w:eastAsia="zh-CN"/>
        </w:rPr>
        <w:t xml:space="preserve">previous </w:t>
      </w:r>
      <w:r w:rsidR="00804217">
        <w:rPr>
          <w:rFonts w:eastAsia="宋体"/>
          <w:sz w:val="20"/>
          <w:lang w:val="en-US" w:eastAsia="zh-CN"/>
        </w:rPr>
        <w:t>TR</w:t>
      </w:r>
      <w:r w:rsidR="00537521">
        <w:rPr>
          <w:rFonts w:eastAsia="宋体"/>
          <w:sz w:val="20"/>
          <w:lang w:val="en-US" w:eastAsia="zh-CN"/>
        </w:rPr>
        <w:t>s</w:t>
      </w:r>
      <w:r w:rsidR="00A80CC6">
        <w:rPr>
          <w:rFonts w:eastAsia="宋体"/>
          <w:sz w:val="20"/>
          <w:lang w:val="en-US" w:eastAsia="zh-CN"/>
        </w:rPr>
        <w:t xml:space="preserve"> which are also applicable to Rel-19 TR.</w:t>
      </w:r>
    </w:p>
    <w:p w:rsidR="0015528C" w:rsidRDefault="00537521" w:rsidP="00260E28">
      <w:pPr>
        <w:spacing w:after="120"/>
        <w:rPr>
          <w:rFonts w:eastAsia="宋体"/>
          <w:sz w:val="20"/>
          <w:lang w:val="en-US" w:eastAsia="zh-CN"/>
        </w:rPr>
      </w:pPr>
      <w:r>
        <w:rPr>
          <w:rFonts w:eastAsia="宋体"/>
          <w:sz w:val="20"/>
          <w:lang w:val="en-US" w:eastAsia="zh-CN"/>
        </w:rPr>
        <w:t>Furthermore, although some guidelines for band combination simplification in Rel-18 have been approved, how to implement them into the specification still needs further discuss, such as the UE co-existence simplification</w:t>
      </w:r>
      <w:r w:rsidR="00A361BA">
        <w:rPr>
          <w:rFonts w:eastAsia="宋体"/>
          <w:sz w:val="20"/>
          <w:lang w:val="en-US" w:eastAsia="zh-CN"/>
        </w:rPr>
        <w:t xml:space="preserve"> and test </w:t>
      </w:r>
      <w:r w:rsidR="00A361BA">
        <w:rPr>
          <w:rFonts w:eastAsia="宋体"/>
          <w:sz w:val="20"/>
          <w:lang w:val="en-US" w:eastAsia="zh-CN"/>
        </w:rPr>
        <w:lastRenderedPageBreak/>
        <w:t xml:space="preserve">burden reduction for band combinations. </w:t>
      </w:r>
      <w:r w:rsidR="006F39CD">
        <w:rPr>
          <w:rFonts w:eastAsia="宋体" w:hint="eastAsia"/>
          <w:sz w:val="20"/>
          <w:lang w:val="en-US" w:eastAsia="zh-CN"/>
        </w:rPr>
        <w:t xml:space="preserve">During Rel-18 time period, companies usually bring CRs in </w:t>
      </w:r>
      <w:r w:rsidR="006F39CD">
        <w:rPr>
          <w:rFonts w:eastAsia="宋体"/>
          <w:sz w:val="20"/>
          <w:lang w:val="en-US" w:eastAsia="zh-CN"/>
        </w:rPr>
        <w:t xml:space="preserve">a </w:t>
      </w:r>
      <w:r w:rsidR="006F39CD">
        <w:rPr>
          <w:rFonts w:eastAsia="宋体" w:hint="eastAsia"/>
          <w:sz w:val="20"/>
          <w:lang w:val="en-US" w:eastAsia="zh-CN"/>
        </w:rPr>
        <w:t xml:space="preserve">separate </w:t>
      </w:r>
      <w:bookmarkStart w:id="7" w:name="OLE_LINK4"/>
      <w:r w:rsidR="00E83B11">
        <w:rPr>
          <w:rFonts w:eastAsia="宋体" w:hint="eastAsia"/>
          <w:sz w:val="20"/>
          <w:lang w:val="en-US" w:eastAsia="zh-CN"/>
        </w:rPr>
        <w:t>agenda item</w:t>
      </w:r>
      <w:r w:rsidR="006F39CD">
        <w:rPr>
          <w:rFonts w:eastAsia="宋体"/>
          <w:sz w:val="20"/>
          <w:lang w:val="en-US" w:eastAsia="zh-CN"/>
        </w:rPr>
        <w:t xml:space="preserve"> </w:t>
      </w:r>
      <w:r w:rsidR="006F39CD">
        <w:rPr>
          <w:rFonts w:eastAsia="宋体" w:hint="eastAsia"/>
          <w:sz w:val="20"/>
          <w:lang w:val="en-US" w:eastAsia="zh-CN"/>
        </w:rPr>
        <w:t>/</w:t>
      </w:r>
      <w:r w:rsidR="006F39CD">
        <w:rPr>
          <w:rFonts w:eastAsia="宋体"/>
          <w:sz w:val="20"/>
          <w:lang w:val="en-US" w:eastAsia="zh-CN"/>
        </w:rPr>
        <w:t xml:space="preserve"> </w:t>
      </w:r>
      <w:r w:rsidR="006F39CD">
        <w:rPr>
          <w:rFonts w:eastAsia="宋体" w:hint="eastAsia"/>
          <w:sz w:val="20"/>
          <w:lang w:val="en-US" w:eastAsia="zh-CN"/>
        </w:rPr>
        <w:t>WID</w:t>
      </w:r>
      <w:bookmarkEnd w:id="7"/>
      <w:r w:rsidR="000E7599">
        <w:rPr>
          <w:rFonts w:eastAsia="宋体" w:hint="eastAsia"/>
          <w:sz w:val="20"/>
          <w:lang w:val="en-US" w:eastAsia="zh-CN"/>
        </w:rPr>
        <w:t xml:space="preserve"> like TEI or basket WID</w:t>
      </w:r>
      <w:r w:rsidR="006F39CD">
        <w:rPr>
          <w:rFonts w:eastAsia="宋体" w:hint="eastAsia"/>
          <w:sz w:val="20"/>
          <w:lang w:val="en-US" w:eastAsia="zh-CN"/>
        </w:rPr>
        <w:t xml:space="preserve"> to reflect the </w:t>
      </w:r>
      <w:r w:rsidR="006F39CD">
        <w:rPr>
          <w:rFonts w:eastAsia="宋体"/>
          <w:sz w:val="20"/>
          <w:lang w:val="en-US" w:eastAsia="zh-CN"/>
        </w:rPr>
        <w:t>guidelines</w:t>
      </w:r>
      <w:r w:rsidR="00AD34B2">
        <w:rPr>
          <w:rFonts w:eastAsia="宋体" w:hint="eastAsia"/>
          <w:sz w:val="20"/>
          <w:lang w:val="en-US" w:eastAsia="zh-CN"/>
        </w:rPr>
        <w:t xml:space="preserve"> agreed in th</w:t>
      </w:r>
      <w:r w:rsidR="00AD34B2">
        <w:rPr>
          <w:rFonts w:eastAsia="宋体"/>
          <w:sz w:val="20"/>
          <w:lang w:val="en-US" w:eastAsia="zh-CN"/>
        </w:rPr>
        <w:t>e</w:t>
      </w:r>
      <w:r w:rsidR="006F39CD">
        <w:rPr>
          <w:rFonts w:eastAsia="宋体" w:hint="eastAsia"/>
          <w:sz w:val="20"/>
          <w:lang w:val="en-US" w:eastAsia="zh-CN"/>
        </w:rPr>
        <w:t xml:space="preserve"> SID for </w:t>
      </w:r>
      <w:r w:rsidR="00AD34B2">
        <w:rPr>
          <w:rFonts w:eastAsia="宋体"/>
          <w:sz w:val="20"/>
          <w:lang w:val="en-US" w:eastAsia="zh-CN"/>
        </w:rPr>
        <w:t xml:space="preserve">the related </w:t>
      </w:r>
      <w:r w:rsidR="006F39CD">
        <w:rPr>
          <w:rFonts w:eastAsia="宋体" w:hint="eastAsia"/>
          <w:sz w:val="20"/>
          <w:lang w:val="en-US" w:eastAsia="zh-CN"/>
        </w:rPr>
        <w:t xml:space="preserve">band combination. However, it would cause problem since it is difficult to discuss the CRs in </w:t>
      </w:r>
      <w:r w:rsidR="00E83B11">
        <w:rPr>
          <w:rFonts w:eastAsia="宋体"/>
          <w:sz w:val="20"/>
          <w:lang w:val="en-US" w:eastAsia="zh-CN"/>
        </w:rPr>
        <w:t xml:space="preserve">a </w:t>
      </w:r>
      <w:r w:rsidR="00E83B11">
        <w:rPr>
          <w:rFonts w:eastAsia="宋体" w:hint="eastAsia"/>
          <w:sz w:val="20"/>
          <w:lang w:val="en-US" w:eastAsia="zh-CN"/>
        </w:rPr>
        <w:t>separate agenda item</w:t>
      </w:r>
      <w:r w:rsidR="00E83B11">
        <w:rPr>
          <w:rFonts w:eastAsia="宋体"/>
          <w:sz w:val="20"/>
          <w:lang w:val="en-US" w:eastAsia="zh-CN"/>
        </w:rPr>
        <w:t xml:space="preserve"> </w:t>
      </w:r>
      <w:r w:rsidR="006F39CD">
        <w:rPr>
          <w:rFonts w:eastAsia="宋体" w:hint="eastAsia"/>
          <w:sz w:val="20"/>
          <w:lang w:val="en-US" w:eastAsia="zh-CN"/>
        </w:rPr>
        <w:t>/</w:t>
      </w:r>
      <w:r w:rsidR="00E83B11">
        <w:rPr>
          <w:rFonts w:eastAsia="宋体"/>
          <w:sz w:val="20"/>
          <w:lang w:val="en-US" w:eastAsia="zh-CN"/>
        </w:rPr>
        <w:t xml:space="preserve"> </w:t>
      </w:r>
      <w:r w:rsidR="00E83B11">
        <w:rPr>
          <w:rFonts w:eastAsia="宋体" w:hint="eastAsia"/>
          <w:sz w:val="20"/>
          <w:lang w:val="en-US" w:eastAsia="zh-CN"/>
        </w:rPr>
        <w:t>WID</w:t>
      </w:r>
      <w:r w:rsidR="006F39CD">
        <w:rPr>
          <w:rFonts w:eastAsia="宋体" w:hint="eastAsia"/>
          <w:sz w:val="20"/>
          <w:lang w:val="en-US" w:eastAsia="zh-CN"/>
        </w:rPr>
        <w:t xml:space="preserve"> based on the outcomes which are discussed in</w:t>
      </w:r>
      <w:r w:rsidR="00E83B11">
        <w:rPr>
          <w:rFonts w:eastAsia="宋体" w:hint="eastAsia"/>
          <w:sz w:val="20"/>
          <w:lang w:val="en-US" w:eastAsia="zh-CN"/>
        </w:rPr>
        <w:t xml:space="preserve"> parallel in another SID. </w:t>
      </w:r>
      <w:r w:rsidR="00E83B11">
        <w:rPr>
          <w:rFonts w:eastAsia="宋体"/>
          <w:sz w:val="20"/>
          <w:lang w:val="en-US" w:eastAsia="zh-CN"/>
        </w:rPr>
        <w:t>C</w:t>
      </w:r>
      <w:r w:rsidR="006F39CD">
        <w:rPr>
          <w:rFonts w:eastAsia="宋体" w:hint="eastAsia"/>
          <w:sz w:val="20"/>
          <w:lang w:val="en-US" w:eastAsia="zh-CN"/>
        </w:rPr>
        <w:t xml:space="preserve">ompanies sometimes </w:t>
      </w:r>
      <w:r w:rsidR="00E83B11">
        <w:rPr>
          <w:rFonts w:eastAsia="宋体"/>
          <w:sz w:val="20"/>
          <w:lang w:val="en-US" w:eastAsia="zh-CN"/>
        </w:rPr>
        <w:t xml:space="preserve">even </w:t>
      </w:r>
      <w:r w:rsidR="006F39CD">
        <w:rPr>
          <w:rFonts w:eastAsia="宋体" w:hint="eastAsia"/>
          <w:sz w:val="20"/>
          <w:lang w:val="en-US" w:eastAsia="zh-CN"/>
        </w:rPr>
        <w:t>bring CRs under th</w:t>
      </w:r>
      <w:r w:rsidR="00E83B11">
        <w:rPr>
          <w:rFonts w:eastAsia="宋体"/>
          <w:sz w:val="20"/>
          <w:lang w:val="en-US" w:eastAsia="zh-CN"/>
        </w:rPr>
        <w:t>e</w:t>
      </w:r>
      <w:r w:rsidR="006F39CD">
        <w:rPr>
          <w:rFonts w:eastAsia="宋体" w:hint="eastAsia"/>
          <w:sz w:val="20"/>
          <w:lang w:val="en-US" w:eastAsia="zh-CN"/>
        </w:rPr>
        <w:t xml:space="preserve"> SID agenda item.</w:t>
      </w:r>
      <w:r w:rsidR="00E83B11">
        <w:rPr>
          <w:rFonts w:eastAsia="宋体"/>
          <w:sz w:val="20"/>
          <w:lang w:val="en-US" w:eastAsia="zh-CN"/>
        </w:rPr>
        <w:t xml:space="preserve"> </w:t>
      </w:r>
      <w:r w:rsidR="00A361BA">
        <w:rPr>
          <w:rFonts w:eastAsia="宋体"/>
          <w:sz w:val="20"/>
          <w:lang w:val="en-US" w:eastAsia="zh-CN"/>
        </w:rPr>
        <w:t>T</w:t>
      </w:r>
      <w:r w:rsidR="00E83B11">
        <w:rPr>
          <w:rFonts w:eastAsia="宋体"/>
          <w:sz w:val="20"/>
          <w:lang w:val="en-US" w:eastAsia="zh-CN"/>
        </w:rPr>
        <w:t>o solve t</w:t>
      </w:r>
      <w:r w:rsidR="00A361BA">
        <w:rPr>
          <w:rFonts w:eastAsia="宋体"/>
          <w:sz w:val="20"/>
          <w:lang w:val="en-US" w:eastAsia="zh-CN"/>
        </w:rPr>
        <w:t xml:space="preserve">he </w:t>
      </w:r>
      <w:r w:rsidR="00E83B11">
        <w:rPr>
          <w:rFonts w:eastAsia="宋体"/>
          <w:sz w:val="20"/>
          <w:lang w:val="en-US" w:eastAsia="zh-CN"/>
        </w:rPr>
        <w:t xml:space="preserve">issue, the </w:t>
      </w:r>
      <w:r w:rsidR="00A361BA">
        <w:rPr>
          <w:rFonts w:eastAsia="宋体"/>
          <w:sz w:val="20"/>
          <w:lang w:val="en-US" w:eastAsia="zh-CN"/>
        </w:rPr>
        <w:t xml:space="preserve">setup of a new WI in Rel-19 will be helpful for the CR </w:t>
      </w:r>
      <w:r w:rsidR="00E148AF">
        <w:rPr>
          <w:rFonts w:eastAsia="宋体"/>
          <w:sz w:val="20"/>
          <w:lang w:val="en-US" w:eastAsia="zh-CN"/>
        </w:rPr>
        <w:t>handling</w:t>
      </w:r>
      <w:r w:rsidR="00C1152D">
        <w:rPr>
          <w:rFonts w:eastAsia="宋体"/>
          <w:sz w:val="20"/>
          <w:lang w:val="en-US" w:eastAsia="zh-CN"/>
        </w:rPr>
        <w:t>.</w:t>
      </w:r>
    </w:p>
    <w:p w:rsidR="00EB6E13" w:rsidRPr="00EB6E13" w:rsidRDefault="009A284C" w:rsidP="009A284C">
      <w:pPr>
        <w:spacing w:after="120"/>
        <w:rPr>
          <w:rFonts w:eastAsia="宋体"/>
          <w:sz w:val="20"/>
          <w:lang w:val="en-US" w:eastAsia="zh-CN"/>
        </w:rPr>
      </w:pPr>
      <w:r>
        <w:rPr>
          <w:rFonts w:eastAsia="宋体"/>
          <w:sz w:val="20"/>
          <w:lang w:val="en-US" w:eastAsia="zh-CN"/>
        </w:rPr>
        <w:t>T</w:t>
      </w:r>
      <w:r w:rsidRPr="00EB6E13">
        <w:rPr>
          <w:rFonts w:eastAsia="宋体"/>
          <w:sz w:val="20"/>
          <w:lang w:val="en-US" w:eastAsia="zh-CN"/>
        </w:rPr>
        <w:t xml:space="preserve">he following objectives on </w:t>
      </w:r>
      <w:r>
        <w:rPr>
          <w:rFonts w:eastAsia="宋体"/>
          <w:sz w:val="20"/>
          <w:lang w:val="en-US" w:eastAsia="zh-CN"/>
        </w:rPr>
        <w:t>Rel-19 WID for further simplification of band combination specification are suggested as below.</w:t>
      </w:r>
    </w:p>
    <w:tbl>
      <w:tblPr>
        <w:tblStyle w:val="aff1"/>
        <w:tblW w:w="0" w:type="auto"/>
        <w:tblLook w:val="04A0" w:firstRow="1" w:lastRow="0" w:firstColumn="1" w:lastColumn="0" w:noHBand="0" w:noVBand="1"/>
      </w:tblPr>
      <w:tblGrid>
        <w:gridCol w:w="9631"/>
      </w:tblGrid>
      <w:tr w:rsidR="00EB6E13" w:rsidTr="00935E51">
        <w:tc>
          <w:tcPr>
            <w:tcW w:w="9857" w:type="dxa"/>
          </w:tcPr>
          <w:p w:rsidR="00EB6E13" w:rsidRDefault="00EB6E13" w:rsidP="00935E51">
            <w:pPr>
              <w:rPr>
                <w:rFonts w:eastAsia="宋体"/>
                <w:sz w:val="24"/>
                <w:szCs w:val="24"/>
                <w:lang w:val="en-US" w:eastAsia="zh-CN"/>
              </w:rPr>
            </w:pPr>
            <w:r>
              <w:rPr>
                <w:rFonts w:eastAsia="宋体"/>
                <w:b/>
                <w:bCs/>
                <w:sz w:val="24"/>
                <w:szCs w:val="24"/>
                <w:lang w:val="en-US" w:eastAsia="zh-CN"/>
              </w:rPr>
              <w:t xml:space="preserve">Topic #1:  </w:t>
            </w:r>
            <w:r w:rsidR="009A284C">
              <w:rPr>
                <w:rFonts w:eastAsia="宋体"/>
                <w:b/>
                <w:bCs/>
                <w:sz w:val="24"/>
                <w:szCs w:val="24"/>
                <w:lang w:val="en-US" w:eastAsia="zh-CN"/>
              </w:rPr>
              <w:t xml:space="preserve">Rel-19 WID for further simplification </w:t>
            </w:r>
            <w:r>
              <w:rPr>
                <w:rFonts w:eastAsia="宋体"/>
                <w:b/>
                <w:bCs/>
                <w:sz w:val="24"/>
                <w:szCs w:val="24"/>
                <w:lang w:val="en-US" w:eastAsia="zh-CN"/>
              </w:rPr>
              <w:t>of band combination specification</w:t>
            </w:r>
            <w:r>
              <w:rPr>
                <w:rFonts w:eastAsia="宋体"/>
                <w:sz w:val="24"/>
                <w:szCs w:val="24"/>
                <w:lang w:val="en-US" w:eastAsia="zh-CN"/>
              </w:rPr>
              <w:t xml:space="preserve">. </w:t>
            </w:r>
          </w:p>
          <w:p w:rsidR="00EB6E13" w:rsidRPr="00EB6E13" w:rsidRDefault="002F5FA9" w:rsidP="00EB6E13">
            <w:pPr>
              <w:pStyle w:val="affe"/>
              <w:numPr>
                <w:ilvl w:val="0"/>
                <w:numId w:val="27"/>
              </w:numPr>
              <w:spacing w:after="180"/>
              <w:ind w:firstLineChars="0"/>
              <w:rPr>
                <w:rFonts w:ascii="Arial" w:hAnsi="Arial" w:cs="Arial"/>
                <w:b/>
                <w:sz w:val="20"/>
                <w:szCs w:val="20"/>
              </w:rPr>
            </w:pPr>
            <w:r>
              <w:rPr>
                <w:rFonts w:ascii="Arial" w:hAnsi="Arial" w:cs="Arial"/>
                <w:b/>
                <w:sz w:val="20"/>
                <w:szCs w:val="20"/>
              </w:rPr>
              <w:t>Recommended Objectives:</w:t>
            </w:r>
          </w:p>
          <w:p w:rsidR="00397A52" w:rsidRPr="007A1F56" w:rsidRDefault="00397A52" w:rsidP="007A1F56">
            <w:pPr>
              <w:spacing w:after="60"/>
              <w:ind w:left="420"/>
              <w:rPr>
                <w:rFonts w:ascii="Arial" w:hAnsi="Arial" w:cs="Arial"/>
                <w:sz w:val="18"/>
                <w:szCs w:val="18"/>
              </w:rPr>
            </w:pPr>
            <w:r w:rsidRPr="007A1F56">
              <w:rPr>
                <w:rFonts w:ascii="Arial" w:hAnsi="Arial" w:cs="Arial"/>
                <w:sz w:val="18"/>
                <w:szCs w:val="18"/>
              </w:rPr>
              <w:t>A follow-up WI of FS_SimBC is suggested for further simplification of band combination specification in the stage of Rel-19.</w:t>
            </w:r>
          </w:p>
          <w:p w:rsidR="00397A52" w:rsidRDefault="00397A52" w:rsidP="00397A52">
            <w:pPr>
              <w:pStyle w:val="affe"/>
              <w:numPr>
                <w:ilvl w:val="1"/>
                <w:numId w:val="27"/>
              </w:numPr>
              <w:ind w:firstLine="360"/>
              <w:rPr>
                <w:rFonts w:ascii="Arial" w:hAnsi="Arial" w:cs="Arial"/>
                <w:sz w:val="18"/>
                <w:szCs w:val="18"/>
              </w:rPr>
            </w:pPr>
            <w:r w:rsidRPr="00397A52">
              <w:rPr>
                <w:rFonts w:ascii="Arial" w:hAnsi="Arial" w:cs="Arial"/>
                <w:sz w:val="18"/>
                <w:szCs w:val="18"/>
              </w:rPr>
              <w:t>Further investigate and simplify the working procedure for specifying band combination.</w:t>
            </w:r>
          </w:p>
          <w:p w:rsidR="00397A52" w:rsidRDefault="009B17C9" w:rsidP="009B17C9">
            <w:pPr>
              <w:pStyle w:val="affe"/>
              <w:numPr>
                <w:ilvl w:val="2"/>
                <w:numId w:val="27"/>
              </w:numPr>
              <w:ind w:firstLineChars="0" w:firstLine="328"/>
              <w:rPr>
                <w:rFonts w:ascii="Arial" w:hAnsi="Arial" w:cs="Arial"/>
                <w:sz w:val="18"/>
                <w:szCs w:val="18"/>
              </w:rPr>
            </w:pPr>
            <w:r>
              <w:rPr>
                <w:rFonts w:ascii="Arial" w:hAnsi="Arial" w:cs="Arial"/>
                <w:sz w:val="18"/>
                <w:szCs w:val="18"/>
              </w:rPr>
              <w:t xml:space="preserve">  </w:t>
            </w:r>
            <w:r w:rsidR="006463AD">
              <w:rPr>
                <w:rFonts w:ascii="Arial" w:hAnsi="Arial" w:cs="Arial"/>
                <w:sz w:val="18"/>
                <w:szCs w:val="18"/>
              </w:rPr>
              <w:t>Rules or</w:t>
            </w:r>
            <w:r w:rsidRPr="009B17C9">
              <w:rPr>
                <w:rFonts w:ascii="Arial" w:hAnsi="Arial" w:cs="Arial"/>
                <w:sz w:val="18"/>
                <w:szCs w:val="18"/>
              </w:rPr>
              <w:t xml:space="preserve"> guidelines collection for band combination during the timeframe of Rel-19.</w:t>
            </w:r>
          </w:p>
          <w:p w:rsidR="009B17C9" w:rsidRDefault="009B17C9" w:rsidP="009B17C9">
            <w:pPr>
              <w:pStyle w:val="affe"/>
              <w:numPr>
                <w:ilvl w:val="3"/>
                <w:numId w:val="27"/>
              </w:numPr>
              <w:ind w:firstLineChars="0" w:firstLine="334"/>
              <w:rPr>
                <w:rFonts w:ascii="Arial" w:hAnsi="Arial" w:cs="Arial"/>
                <w:sz w:val="18"/>
                <w:szCs w:val="18"/>
              </w:rPr>
            </w:pPr>
            <w:r w:rsidRPr="009B17C9">
              <w:rPr>
                <w:rFonts w:ascii="Arial" w:hAnsi="Arial" w:cs="Arial"/>
                <w:sz w:val="18"/>
                <w:szCs w:val="18"/>
              </w:rPr>
              <w:t>Simplifications on BCS for band combination if feasible.</w:t>
            </w:r>
          </w:p>
          <w:p w:rsidR="009B17C9" w:rsidRPr="009B17C9" w:rsidRDefault="009B17C9" w:rsidP="009B17C9">
            <w:pPr>
              <w:pStyle w:val="affe"/>
              <w:numPr>
                <w:ilvl w:val="3"/>
                <w:numId w:val="27"/>
              </w:numPr>
              <w:ind w:firstLine="360"/>
              <w:rPr>
                <w:rFonts w:ascii="Arial" w:hAnsi="Arial" w:cs="Arial"/>
                <w:sz w:val="18"/>
                <w:szCs w:val="18"/>
              </w:rPr>
            </w:pPr>
            <w:r w:rsidRPr="009B17C9">
              <w:rPr>
                <w:rFonts w:ascii="Arial" w:hAnsi="Arial" w:cs="Arial"/>
                <w:sz w:val="18"/>
                <w:szCs w:val="18"/>
              </w:rPr>
              <w:t>Further simplifications on band combinations of multiple features, e.g., NR-CA, EN-DC etc.</w:t>
            </w:r>
          </w:p>
          <w:p w:rsidR="009B17C9" w:rsidRDefault="009B17C9" w:rsidP="00C141BE">
            <w:pPr>
              <w:pStyle w:val="affe"/>
              <w:numPr>
                <w:ilvl w:val="3"/>
                <w:numId w:val="27"/>
              </w:numPr>
              <w:ind w:firstLineChars="0" w:firstLine="334"/>
              <w:rPr>
                <w:rFonts w:ascii="Arial" w:hAnsi="Arial" w:cs="Arial"/>
                <w:sz w:val="18"/>
                <w:szCs w:val="18"/>
              </w:rPr>
            </w:pPr>
            <w:r w:rsidRPr="009B17C9">
              <w:rPr>
                <w:rFonts w:ascii="Arial" w:hAnsi="Arial" w:cs="Arial"/>
                <w:sz w:val="18"/>
                <w:szCs w:val="18"/>
              </w:rPr>
              <w:t>Study the possible simplifications for HPUE features.</w:t>
            </w:r>
          </w:p>
          <w:p w:rsidR="009B17C9" w:rsidRDefault="009B17C9" w:rsidP="009B17C9">
            <w:pPr>
              <w:pStyle w:val="affe"/>
              <w:numPr>
                <w:ilvl w:val="2"/>
                <w:numId w:val="27"/>
              </w:numPr>
              <w:ind w:firstLineChars="0" w:firstLine="328"/>
              <w:rPr>
                <w:rFonts w:ascii="Arial" w:hAnsi="Arial" w:cs="Arial"/>
                <w:sz w:val="18"/>
                <w:szCs w:val="18"/>
              </w:rPr>
            </w:pPr>
            <w:r>
              <w:rPr>
                <w:rFonts w:ascii="Arial" w:hAnsi="Arial" w:cs="Arial"/>
                <w:sz w:val="18"/>
                <w:szCs w:val="18"/>
              </w:rPr>
              <w:t xml:space="preserve">  </w:t>
            </w:r>
            <w:r w:rsidRPr="009B17C9">
              <w:rPr>
                <w:rFonts w:ascii="Arial" w:hAnsi="Arial" w:cs="Arial"/>
                <w:sz w:val="18"/>
                <w:szCs w:val="18"/>
                <w:lang w:val="en-GB"/>
              </w:rPr>
              <w:t>Efforts on possible optimization for specification structure and reduce the signa</w:t>
            </w:r>
            <w:r w:rsidR="006463AD">
              <w:rPr>
                <w:rFonts w:ascii="Arial" w:hAnsi="Arial" w:cs="Arial"/>
                <w:sz w:val="18"/>
                <w:szCs w:val="18"/>
                <w:lang w:val="en-GB"/>
              </w:rPr>
              <w:t>l</w:t>
            </w:r>
            <w:r w:rsidRPr="009B17C9">
              <w:rPr>
                <w:rFonts w:ascii="Arial" w:hAnsi="Arial" w:cs="Arial"/>
                <w:sz w:val="18"/>
                <w:szCs w:val="18"/>
                <w:lang w:val="en-GB"/>
              </w:rPr>
              <w:t>ling load and test burden.</w:t>
            </w:r>
          </w:p>
          <w:p w:rsidR="009B17C9" w:rsidRDefault="009B17C9" w:rsidP="00354B9C">
            <w:pPr>
              <w:pStyle w:val="affe"/>
              <w:numPr>
                <w:ilvl w:val="3"/>
                <w:numId w:val="27"/>
              </w:numPr>
              <w:ind w:firstLineChars="0" w:firstLine="334"/>
              <w:rPr>
                <w:rFonts w:ascii="Arial" w:hAnsi="Arial" w:cs="Arial"/>
                <w:sz w:val="18"/>
                <w:szCs w:val="18"/>
              </w:rPr>
            </w:pPr>
            <w:r w:rsidRPr="009B17C9">
              <w:rPr>
                <w:rFonts w:ascii="Arial" w:hAnsi="Arial" w:cs="Arial"/>
                <w:sz w:val="18"/>
                <w:szCs w:val="18"/>
              </w:rPr>
              <w:t>RAN2 and RAN 5</w:t>
            </w:r>
            <w:r w:rsidR="007A1F56">
              <w:rPr>
                <w:rFonts w:ascii="Arial" w:hAnsi="Arial" w:cs="Arial"/>
                <w:sz w:val="18"/>
                <w:szCs w:val="18"/>
              </w:rPr>
              <w:t xml:space="preserve"> </w:t>
            </w:r>
            <w:r w:rsidRPr="009B17C9">
              <w:rPr>
                <w:rFonts w:ascii="Arial" w:hAnsi="Arial" w:cs="Arial"/>
                <w:sz w:val="18"/>
                <w:szCs w:val="18"/>
              </w:rPr>
              <w:t>work will be triggered by LS from RAN4.</w:t>
            </w:r>
          </w:p>
          <w:p w:rsidR="007A1F56" w:rsidRPr="009B17C9" w:rsidRDefault="007A1F56" w:rsidP="007A1F56">
            <w:pPr>
              <w:pStyle w:val="affe"/>
              <w:ind w:left="2014" w:firstLineChars="0" w:firstLine="0"/>
              <w:rPr>
                <w:rFonts w:ascii="Arial" w:hAnsi="Arial" w:cs="Arial"/>
                <w:sz w:val="18"/>
                <w:szCs w:val="18"/>
              </w:rPr>
            </w:pPr>
          </w:p>
          <w:p w:rsidR="00397A52" w:rsidRPr="00397A52" w:rsidRDefault="00397A52" w:rsidP="00397A52">
            <w:pPr>
              <w:pStyle w:val="affe"/>
              <w:numPr>
                <w:ilvl w:val="1"/>
                <w:numId w:val="27"/>
              </w:numPr>
              <w:ind w:firstLine="360"/>
              <w:rPr>
                <w:rFonts w:ascii="Arial" w:hAnsi="Arial" w:cs="Arial"/>
                <w:sz w:val="18"/>
                <w:szCs w:val="18"/>
              </w:rPr>
            </w:pPr>
            <w:r w:rsidRPr="00397A52">
              <w:rPr>
                <w:rFonts w:ascii="Arial" w:hAnsi="Arial" w:cs="Arial"/>
                <w:sz w:val="18"/>
                <w:szCs w:val="18"/>
              </w:rPr>
              <w:t>For the simplification on V2X band combinations, the following PC5 configurations with Uu configurations should be investigated in order to minimize the specification efforts.</w:t>
            </w:r>
          </w:p>
          <w:p w:rsidR="00397A52" w:rsidRDefault="009B17C9" w:rsidP="009B17C9">
            <w:pPr>
              <w:pStyle w:val="affe"/>
              <w:numPr>
                <w:ilvl w:val="2"/>
                <w:numId w:val="27"/>
              </w:numPr>
              <w:ind w:firstLineChars="0" w:firstLine="328"/>
              <w:rPr>
                <w:rFonts w:ascii="Arial" w:hAnsi="Arial" w:cs="Arial"/>
                <w:sz w:val="18"/>
                <w:szCs w:val="18"/>
              </w:rPr>
            </w:pPr>
            <w:r>
              <w:rPr>
                <w:rFonts w:ascii="Arial" w:hAnsi="Arial" w:cs="Arial"/>
                <w:sz w:val="18"/>
                <w:szCs w:val="18"/>
              </w:rPr>
              <w:t xml:space="preserve">  </w:t>
            </w:r>
            <w:r w:rsidRPr="009B17C9">
              <w:rPr>
                <w:rFonts w:ascii="Arial" w:hAnsi="Arial" w:cs="Arial"/>
                <w:sz w:val="18"/>
                <w:szCs w:val="18"/>
              </w:rPr>
              <w:t xml:space="preserve">Inter-band con-current V2X operating bands (TS 38.101-1&amp;TS </w:t>
            </w:r>
            <w:r>
              <w:rPr>
                <w:rFonts w:ascii="Arial" w:hAnsi="Arial" w:cs="Arial"/>
                <w:sz w:val="18"/>
                <w:szCs w:val="18"/>
              </w:rPr>
              <w:t>38.101-</w:t>
            </w:r>
            <w:r w:rsidRPr="009B17C9">
              <w:rPr>
                <w:rFonts w:ascii="Arial" w:hAnsi="Arial" w:cs="Arial"/>
                <w:sz w:val="18"/>
                <w:szCs w:val="18"/>
              </w:rPr>
              <w:t>3)</w:t>
            </w:r>
          </w:p>
          <w:p w:rsidR="009B17C9" w:rsidRDefault="009B17C9" w:rsidP="009B17C9">
            <w:pPr>
              <w:pStyle w:val="affe"/>
              <w:numPr>
                <w:ilvl w:val="3"/>
                <w:numId w:val="27"/>
              </w:numPr>
              <w:ind w:firstLineChars="0" w:firstLine="334"/>
              <w:rPr>
                <w:rFonts w:ascii="Arial" w:hAnsi="Arial" w:cs="Arial"/>
                <w:sz w:val="18"/>
                <w:szCs w:val="18"/>
              </w:rPr>
            </w:pPr>
            <w:r w:rsidRPr="009B17C9">
              <w:rPr>
                <w:rFonts w:ascii="Arial" w:hAnsi="Arial" w:cs="Arial"/>
                <w:sz w:val="18"/>
                <w:szCs w:val="18"/>
              </w:rPr>
              <w:t>NR Uu+NR PC5 (TS 38.101-1)</w:t>
            </w:r>
          </w:p>
          <w:p w:rsidR="009B17C9" w:rsidRPr="009B17C9" w:rsidRDefault="009B17C9" w:rsidP="009B17C9">
            <w:pPr>
              <w:pStyle w:val="affe"/>
              <w:numPr>
                <w:ilvl w:val="3"/>
                <w:numId w:val="27"/>
              </w:numPr>
              <w:ind w:firstLine="360"/>
              <w:rPr>
                <w:rFonts w:ascii="Arial" w:hAnsi="Arial" w:cs="Arial"/>
                <w:sz w:val="18"/>
                <w:szCs w:val="18"/>
              </w:rPr>
            </w:pPr>
            <w:r w:rsidRPr="009B17C9">
              <w:rPr>
                <w:rFonts w:ascii="Arial" w:hAnsi="Arial" w:cs="Arial"/>
                <w:sz w:val="18"/>
                <w:szCs w:val="18"/>
              </w:rPr>
              <w:t>LTE Uu+NR PC5(TS 38.101-3)</w:t>
            </w:r>
          </w:p>
          <w:p w:rsidR="009B17C9" w:rsidRDefault="009B17C9" w:rsidP="009B17C9">
            <w:pPr>
              <w:pStyle w:val="affe"/>
              <w:numPr>
                <w:ilvl w:val="3"/>
                <w:numId w:val="27"/>
              </w:numPr>
              <w:ind w:firstLine="360"/>
              <w:rPr>
                <w:rFonts w:ascii="Arial" w:hAnsi="Arial" w:cs="Arial"/>
                <w:sz w:val="18"/>
                <w:szCs w:val="18"/>
              </w:rPr>
            </w:pPr>
            <w:r w:rsidRPr="009B17C9">
              <w:rPr>
                <w:rFonts w:ascii="Arial" w:hAnsi="Arial" w:cs="Arial"/>
                <w:sz w:val="18"/>
                <w:szCs w:val="18"/>
              </w:rPr>
              <w:t>NR Uu+LTE PC5(TS 38.101-3)</w:t>
            </w:r>
          </w:p>
          <w:p w:rsidR="009B17C9" w:rsidRPr="009B17C9" w:rsidRDefault="009B17C9" w:rsidP="009B17C9">
            <w:pPr>
              <w:pStyle w:val="affe"/>
              <w:numPr>
                <w:ilvl w:val="2"/>
                <w:numId w:val="27"/>
              </w:numPr>
              <w:ind w:firstLineChars="0" w:firstLine="328"/>
              <w:rPr>
                <w:rFonts w:ascii="Arial" w:hAnsi="Arial" w:cs="Arial"/>
                <w:sz w:val="18"/>
                <w:szCs w:val="18"/>
              </w:rPr>
            </w:pPr>
            <w:r>
              <w:rPr>
                <w:rFonts w:ascii="Arial" w:hAnsi="Arial" w:cs="Arial"/>
                <w:sz w:val="18"/>
                <w:szCs w:val="18"/>
              </w:rPr>
              <w:t xml:space="preserve">  </w:t>
            </w:r>
            <w:r w:rsidRPr="009B17C9">
              <w:rPr>
                <w:rFonts w:ascii="Arial" w:hAnsi="Arial" w:cs="Arial"/>
                <w:sz w:val="18"/>
                <w:szCs w:val="18"/>
              </w:rPr>
              <w:t>Intra-band con-current V2X operating bands (TS 38.101-1)</w:t>
            </w:r>
          </w:p>
          <w:p w:rsidR="009B17C9" w:rsidRPr="00397A52" w:rsidRDefault="009B17C9" w:rsidP="007A1F56">
            <w:pPr>
              <w:pStyle w:val="affe"/>
              <w:ind w:left="2014" w:firstLineChars="0" w:firstLine="0"/>
              <w:rPr>
                <w:rFonts w:ascii="Arial" w:hAnsi="Arial" w:cs="Arial"/>
                <w:sz w:val="18"/>
                <w:szCs w:val="18"/>
              </w:rPr>
            </w:pPr>
          </w:p>
          <w:p w:rsidR="00387A14" w:rsidRPr="009B17C9" w:rsidRDefault="009B17C9" w:rsidP="009B17C9">
            <w:pPr>
              <w:pStyle w:val="affe"/>
              <w:numPr>
                <w:ilvl w:val="1"/>
                <w:numId w:val="27"/>
              </w:numPr>
              <w:ind w:firstLine="360"/>
              <w:rPr>
                <w:rFonts w:ascii="Arial" w:hAnsi="Arial" w:cs="Arial"/>
                <w:sz w:val="18"/>
                <w:szCs w:val="18"/>
              </w:rPr>
            </w:pPr>
            <w:r>
              <w:rPr>
                <w:rFonts w:ascii="Arial" w:hAnsi="Arial" w:cs="Arial"/>
                <w:sz w:val="18"/>
                <w:szCs w:val="18"/>
              </w:rPr>
              <w:t>A</w:t>
            </w:r>
            <w:r w:rsidRPr="009B17C9">
              <w:rPr>
                <w:rFonts w:ascii="Arial" w:hAnsi="Arial" w:cs="Arial"/>
                <w:sz w:val="18"/>
                <w:szCs w:val="18"/>
              </w:rPr>
              <w:t xml:space="preserve"> new TR for Rel-19 is to be created for </w:t>
            </w:r>
            <w:r w:rsidR="006463AD">
              <w:rPr>
                <w:rFonts w:ascii="Arial" w:hAnsi="Arial" w:cs="Arial"/>
                <w:sz w:val="18"/>
                <w:szCs w:val="18"/>
              </w:rPr>
              <w:t xml:space="preserve">capturing the new rules or guidelines in Rel-19 and </w:t>
            </w:r>
            <w:r w:rsidRPr="009B17C9">
              <w:rPr>
                <w:rFonts w:ascii="Arial" w:hAnsi="Arial" w:cs="Arial"/>
                <w:sz w:val="18"/>
                <w:szCs w:val="18"/>
              </w:rPr>
              <w:t xml:space="preserve">handling the common rules or guidelines captured in previous TRs which are also applicable to </w:t>
            </w:r>
            <w:r w:rsidR="006463AD">
              <w:rPr>
                <w:rFonts w:ascii="Arial" w:hAnsi="Arial" w:cs="Arial"/>
                <w:sz w:val="18"/>
                <w:szCs w:val="18"/>
              </w:rPr>
              <w:t>Rel-19</w:t>
            </w:r>
            <w:r w:rsidR="00EE5A52">
              <w:rPr>
                <w:rFonts w:ascii="Arial" w:hAnsi="Arial" w:cs="Arial"/>
                <w:sz w:val="18"/>
                <w:szCs w:val="18"/>
              </w:rPr>
              <w:t>.</w:t>
            </w:r>
          </w:p>
          <w:p w:rsidR="009D50E9" w:rsidRDefault="009D50E9" w:rsidP="00EE5A52">
            <w:pPr>
              <w:pStyle w:val="affe"/>
              <w:spacing w:after="60"/>
              <w:ind w:left="840" w:firstLineChars="0" w:firstLine="0"/>
              <w:rPr>
                <w:sz w:val="18"/>
                <w:szCs w:val="18"/>
              </w:rPr>
            </w:pPr>
          </w:p>
        </w:tc>
      </w:tr>
    </w:tbl>
    <w:p w:rsidR="004B2DA3" w:rsidRPr="00875E99" w:rsidRDefault="004B2DA3" w:rsidP="004B2DA3">
      <w:pPr>
        <w:spacing w:beforeLines="50" w:before="120"/>
        <w:rPr>
          <w:rFonts w:eastAsia="宋体"/>
          <w:sz w:val="20"/>
          <w:lang w:val="en-US" w:eastAsia="zh-CN"/>
        </w:rPr>
      </w:pPr>
    </w:p>
    <w:p w:rsidR="00892B67" w:rsidRPr="007B1849" w:rsidRDefault="00892B67" w:rsidP="00875E99">
      <w:pPr>
        <w:rPr>
          <w:rFonts w:eastAsia="宋体"/>
          <w:sz w:val="20"/>
          <w:lang w:val="en-US" w:eastAsia="zh-CN"/>
        </w:rPr>
      </w:pPr>
      <w:r w:rsidRPr="007B1849">
        <w:rPr>
          <w:rFonts w:eastAsia="宋体" w:hint="eastAsia"/>
          <w:b/>
          <w:bCs/>
          <w:sz w:val="20"/>
          <w:lang w:val="en-US" w:eastAsia="zh-CN"/>
        </w:rPr>
        <w:t xml:space="preserve">Proposal 1: </w:t>
      </w:r>
      <w:r w:rsidRPr="007B1849">
        <w:rPr>
          <w:rFonts w:eastAsia="宋体"/>
          <w:b/>
          <w:bCs/>
          <w:sz w:val="20"/>
          <w:lang w:val="en-US" w:eastAsia="zh-CN"/>
        </w:rPr>
        <w:t xml:space="preserve">It is suggested to </w:t>
      </w:r>
      <w:r w:rsidR="004B2DA3">
        <w:rPr>
          <w:rFonts w:eastAsia="宋体" w:hint="eastAsia"/>
          <w:b/>
          <w:bCs/>
          <w:sz w:val="20"/>
          <w:lang w:val="en-US" w:eastAsia="zh-CN"/>
        </w:rPr>
        <w:t>se</w:t>
      </w:r>
      <w:r w:rsidR="009A284C">
        <w:rPr>
          <w:rFonts w:eastAsia="宋体"/>
          <w:b/>
          <w:bCs/>
          <w:sz w:val="20"/>
          <w:lang w:val="en-US" w:eastAsia="zh-CN"/>
        </w:rPr>
        <w:t>t a new W</w:t>
      </w:r>
      <w:r w:rsidR="004B2DA3">
        <w:rPr>
          <w:rFonts w:eastAsia="宋体"/>
          <w:b/>
          <w:bCs/>
          <w:sz w:val="20"/>
          <w:lang w:val="en-US" w:eastAsia="zh-CN"/>
        </w:rPr>
        <w:t xml:space="preserve">I </w:t>
      </w:r>
      <w:r w:rsidR="009A284C">
        <w:rPr>
          <w:rFonts w:eastAsia="宋体"/>
          <w:b/>
          <w:bCs/>
          <w:sz w:val="20"/>
          <w:lang w:val="en-US" w:eastAsia="zh-CN"/>
        </w:rPr>
        <w:t xml:space="preserve">for further </w:t>
      </w:r>
      <w:r w:rsidR="004B2DA3">
        <w:rPr>
          <w:rFonts w:eastAsia="宋体"/>
          <w:b/>
          <w:bCs/>
          <w:sz w:val="20"/>
          <w:lang w:val="en-US" w:eastAsia="zh-CN"/>
        </w:rPr>
        <w:t>simplification of band com</w:t>
      </w:r>
      <w:r w:rsidR="009A284C">
        <w:rPr>
          <w:rFonts w:eastAsia="宋体"/>
          <w:b/>
          <w:bCs/>
          <w:sz w:val="20"/>
          <w:lang w:val="en-US" w:eastAsia="zh-CN"/>
        </w:rPr>
        <w:t>bination specification in Rel-19</w:t>
      </w:r>
      <w:r w:rsidR="004B2DA3">
        <w:rPr>
          <w:rFonts w:eastAsia="宋体"/>
          <w:b/>
          <w:bCs/>
          <w:sz w:val="20"/>
          <w:lang w:val="en-US" w:eastAsia="zh-CN"/>
        </w:rPr>
        <w:t xml:space="preserve"> with the objectives listed above</w:t>
      </w:r>
      <w:r w:rsidRPr="007B1849">
        <w:rPr>
          <w:rFonts w:eastAsia="宋体" w:hint="eastAsia"/>
          <w:b/>
          <w:bCs/>
          <w:sz w:val="20"/>
          <w:lang w:val="en-US" w:eastAsia="zh-CN"/>
        </w:rPr>
        <w:t>.</w:t>
      </w:r>
    </w:p>
    <w:p w:rsidR="003C214D" w:rsidRDefault="003C214D" w:rsidP="008E22C2">
      <w:pPr>
        <w:rPr>
          <w:b/>
        </w:rPr>
      </w:pPr>
    </w:p>
    <w:p w:rsidR="008E22C2" w:rsidRPr="003C214D" w:rsidRDefault="003C214D" w:rsidP="003C214D">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p w:rsidR="005D0328" w:rsidRDefault="00187A97" w:rsidP="00875E99">
      <w:pPr>
        <w:spacing w:after="0"/>
        <w:rPr>
          <w:rFonts w:eastAsia="宋体"/>
          <w:sz w:val="20"/>
          <w:lang w:val="en-US" w:eastAsia="zh-CN"/>
        </w:rPr>
      </w:pPr>
      <w:r>
        <w:rPr>
          <w:rFonts w:eastAsia="宋体"/>
          <w:sz w:val="20"/>
          <w:lang w:val="en-US" w:eastAsia="zh-CN"/>
        </w:rPr>
        <w:t xml:space="preserve">[1] </w:t>
      </w:r>
      <w:r w:rsidR="005D0328">
        <w:rPr>
          <w:rFonts w:eastAsia="宋体"/>
          <w:sz w:val="20"/>
          <w:lang w:val="en-US" w:eastAsia="zh-CN"/>
        </w:rPr>
        <w:t>RP-231862, SR for Study on simplification of band combination specification for NR and LTE, ZTE, RAN#101</w:t>
      </w:r>
    </w:p>
    <w:p w:rsidR="005D0328" w:rsidRDefault="009A284C" w:rsidP="00875E99">
      <w:pPr>
        <w:spacing w:after="0"/>
        <w:rPr>
          <w:rFonts w:eastAsia="宋体"/>
          <w:sz w:val="20"/>
          <w:lang w:val="en-US" w:eastAsia="zh-CN"/>
        </w:rPr>
      </w:pPr>
      <w:r>
        <w:rPr>
          <w:rFonts w:eastAsia="宋体"/>
          <w:sz w:val="20"/>
          <w:lang w:val="en-US" w:eastAsia="zh-CN"/>
        </w:rPr>
        <w:t xml:space="preserve">[2] </w:t>
      </w:r>
      <w:r w:rsidRPr="009A284C">
        <w:rPr>
          <w:rFonts w:eastAsia="宋体"/>
          <w:sz w:val="20"/>
          <w:lang w:val="en-US" w:eastAsia="zh-CN"/>
        </w:rPr>
        <w:t>R4-2312595</w:t>
      </w:r>
      <w:r>
        <w:rPr>
          <w:rFonts w:eastAsia="宋体"/>
          <w:sz w:val="20"/>
          <w:lang w:val="en-US" w:eastAsia="zh-CN"/>
        </w:rPr>
        <w:t xml:space="preserve">, TR 38.846 v1.1.0 </w:t>
      </w:r>
      <w:r w:rsidRPr="009A284C">
        <w:rPr>
          <w:rFonts w:eastAsia="宋体"/>
          <w:sz w:val="20"/>
          <w:lang w:val="en-US" w:eastAsia="zh-CN"/>
        </w:rPr>
        <w:t>Study on simplification of band combination specification for NR and LTE</w:t>
      </w:r>
      <w:r>
        <w:rPr>
          <w:rFonts w:eastAsia="宋体"/>
          <w:sz w:val="20"/>
          <w:lang w:val="en-US" w:eastAsia="zh-CN"/>
        </w:rPr>
        <w:t>, ZTE, RAN4#108</w:t>
      </w:r>
    </w:p>
    <w:bookmarkEnd w:id="2"/>
    <w:p w:rsidR="00875E99" w:rsidRPr="00990520" w:rsidRDefault="00875E99" w:rsidP="004255D8">
      <w:pPr>
        <w:rPr>
          <w:rFonts w:eastAsia="宋体"/>
          <w:sz w:val="20"/>
          <w:lang w:val="en-US" w:eastAsia="zh-CN"/>
        </w:rPr>
      </w:pPr>
    </w:p>
    <w:sectPr w:rsidR="00875E99" w:rsidRPr="009905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F09" w:rsidRDefault="00C46F09" w:rsidP="00CE177C">
      <w:pPr>
        <w:spacing w:after="0"/>
      </w:pPr>
      <w:r>
        <w:separator/>
      </w:r>
    </w:p>
  </w:endnote>
  <w:endnote w:type="continuationSeparator" w:id="0">
    <w:p w:rsidR="00C46F09" w:rsidRDefault="00C46F09" w:rsidP="00CE1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F09" w:rsidRDefault="00C46F09" w:rsidP="00CE177C">
      <w:pPr>
        <w:spacing w:after="0"/>
      </w:pPr>
      <w:r>
        <w:separator/>
      </w:r>
    </w:p>
  </w:footnote>
  <w:footnote w:type="continuationSeparator" w:id="0">
    <w:p w:rsidR="00C46F09" w:rsidRDefault="00C46F09" w:rsidP="00CE17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
      </v:shape>
    </w:pict>
  </w:numPicBullet>
  <w:numPicBullet w:numPicBulletId="1">
    <w:pict>
      <v:shape id="_x0000_i1030" type="#_x0000_t75" style="width:33pt;height:24pt" o:bullet="t">
        <v:imagedata r:id="rId2" o:title="art7FE5"/>
      </v:shape>
    </w:pict>
  </w:numPicBullet>
  <w:abstractNum w:abstractNumId="0" w15:restartNumberingAfterBreak="0">
    <w:nsid w:val="83FDC902"/>
    <w:multiLevelType w:val="singleLevel"/>
    <w:tmpl w:val="83FDC902"/>
    <w:lvl w:ilvl="0">
      <w:start w:val="1"/>
      <w:numFmt w:val="bullet"/>
      <w:lvlText w:val="-"/>
      <w:lvlJc w:val="left"/>
      <w:pPr>
        <w:ind w:left="420" w:hanging="420"/>
      </w:pPr>
      <w:rPr>
        <w:rFonts w:ascii="Arial" w:hAnsi="Arial" w:cs="Arial" w:hint="default"/>
      </w:rPr>
    </w:lvl>
  </w:abstractNum>
  <w:abstractNum w:abstractNumId="1"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2"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25235B"/>
    <w:multiLevelType w:val="hybridMultilevel"/>
    <w:tmpl w:val="0A802894"/>
    <w:lvl w:ilvl="0" w:tplc="FBA6B5EA">
      <w:start w:val="1"/>
      <w:numFmt w:val="bullet"/>
      <w:lvlText w:val="–"/>
      <w:lvlJc w:val="left"/>
      <w:pPr>
        <w:tabs>
          <w:tab w:val="num" w:pos="720"/>
        </w:tabs>
        <w:ind w:left="720" w:hanging="360"/>
      </w:pPr>
      <w:rPr>
        <w:rFonts w:ascii="宋体" w:hAnsi="宋体" w:hint="default"/>
      </w:rPr>
    </w:lvl>
    <w:lvl w:ilvl="1" w:tplc="7BDC1796">
      <w:start w:val="1"/>
      <w:numFmt w:val="bullet"/>
      <w:lvlText w:val="–"/>
      <w:lvlJc w:val="left"/>
      <w:pPr>
        <w:tabs>
          <w:tab w:val="num" w:pos="1440"/>
        </w:tabs>
        <w:ind w:left="1440" w:hanging="360"/>
      </w:pPr>
      <w:rPr>
        <w:rFonts w:ascii="宋体" w:hAnsi="宋体" w:hint="default"/>
      </w:rPr>
    </w:lvl>
    <w:lvl w:ilvl="2" w:tplc="2E061782" w:tentative="1">
      <w:start w:val="1"/>
      <w:numFmt w:val="bullet"/>
      <w:lvlText w:val="–"/>
      <w:lvlJc w:val="left"/>
      <w:pPr>
        <w:tabs>
          <w:tab w:val="num" w:pos="2160"/>
        </w:tabs>
        <w:ind w:left="2160" w:hanging="360"/>
      </w:pPr>
      <w:rPr>
        <w:rFonts w:ascii="宋体" w:hAnsi="宋体" w:hint="default"/>
      </w:rPr>
    </w:lvl>
    <w:lvl w:ilvl="3" w:tplc="4D16C6C6" w:tentative="1">
      <w:start w:val="1"/>
      <w:numFmt w:val="bullet"/>
      <w:lvlText w:val="–"/>
      <w:lvlJc w:val="left"/>
      <w:pPr>
        <w:tabs>
          <w:tab w:val="num" w:pos="2880"/>
        </w:tabs>
        <w:ind w:left="2880" w:hanging="360"/>
      </w:pPr>
      <w:rPr>
        <w:rFonts w:ascii="宋体" w:hAnsi="宋体" w:hint="default"/>
      </w:rPr>
    </w:lvl>
    <w:lvl w:ilvl="4" w:tplc="271E0B20" w:tentative="1">
      <w:start w:val="1"/>
      <w:numFmt w:val="bullet"/>
      <w:lvlText w:val="–"/>
      <w:lvlJc w:val="left"/>
      <w:pPr>
        <w:tabs>
          <w:tab w:val="num" w:pos="3600"/>
        </w:tabs>
        <w:ind w:left="3600" w:hanging="360"/>
      </w:pPr>
      <w:rPr>
        <w:rFonts w:ascii="宋体" w:hAnsi="宋体" w:hint="default"/>
      </w:rPr>
    </w:lvl>
    <w:lvl w:ilvl="5" w:tplc="3830D26A" w:tentative="1">
      <w:start w:val="1"/>
      <w:numFmt w:val="bullet"/>
      <w:lvlText w:val="–"/>
      <w:lvlJc w:val="left"/>
      <w:pPr>
        <w:tabs>
          <w:tab w:val="num" w:pos="4320"/>
        </w:tabs>
        <w:ind w:left="4320" w:hanging="360"/>
      </w:pPr>
      <w:rPr>
        <w:rFonts w:ascii="宋体" w:hAnsi="宋体" w:hint="default"/>
      </w:rPr>
    </w:lvl>
    <w:lvl w:ilvl="6" w:tplc="A39E7BFC" w:tentative="1">
      <w:start w:val="1"/>
      <w:numFmt w:val="bullet"/>
      <w:lvlText w:val="–"/>
      <w:lvlJc w:val="left"/>
      <w:pPr>
        <w:tabs>
          <w:tab w:val="num" w:pos="5040"/>
        </w:tabs>
        <w:ind w:left="5040" w:hanging="360"/>
      </w:pPr>
      <w:rPr>
        <w:rFonts w:ascii="宋体" w:hAnsi="宋体" w:hint="default"/>
      </w:rPr>
    </w:lvl>
    <w:lvl w:ilvl="7" w:tplc="DB7E1052" w:tentative="1">
      <w:start w:val="1"/>
      <w:numFmt w:val="bullet"/>
      <w:lvlText w:val="–"/>
      <w:lvlJc w:val="left"/>
      <w:pPr>
        <w:tabs>
          <w:tab w:val="num" w:pos="5760"/>
        </w:tabs>
        <w:ind w:left="5760" w:hanging="360"/>
      </w:pPr>
      <w:rPr>
        <w:rFonts w:ascii="宋体" w:hAnsi="宋体" w:hint="default"/>
      </w:rPr>
    </w:lvl>
    <w:lvl w:ilvl="8" w:tplc="736EAD3C"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038069BD"/>
    <w:multiLevelType w:val="multilevel"/>
    <w:tmpl w:val="038069BD"/>
    <w:lvl w:ilvl="0">
      <w:start w:val="1"/>
      <w:numFmt w:val="decimal"/>
      <w:lvlText w:val="[%1]"/>
      <w:lvlJc w:val="left"/>
      <w:pPr>
        <w:tabs>
          <w:tab w:val="num" w:pos="511"/>
        </w:tabs>
        <w:ind w:left="511" w:hanging="369"/>
      </w:pPr>
      <w:rPr>
        <w:rFonts w:hint="default"/>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9"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10"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11" w15:restartNumberingAfterBreak="0">
    <w:nsid w:val="149F558D"/>
    <w:multiLevelType w:val="hybridMultilevel"/>
    <w:tmpl w:val="A740B320"/>
    <w:lvl w:ilvl="0" w:tplc="45789F6A">
      <w:start w:val="1"/>
      <w:numFmt w:val="bullet"/>
      <w:lvlText w:val="–"/>
      <w:lvlJc w:val="left"/>
      <w:pPr>
        <w:tabs>
          <w:tab w:val="num" w:pos="720"/>
        </w:tabs>
        <w:ind w:left="720" w:hanging="360"/>
      </w:pPr>
      <w:rPr>
        <w:rFonts w:ascii="宋体" w:hAnsi="宋体" w:hint="default"/>
      </w:rPr>
    </w:lvl>
    <w:lvl w:ilvl="1" w:tplc="0E82FF5A">
      <w:start w:val="1"/>
      <w:numFmt w:val="bullet"/>
      <w:lvlText w:val="–"/>
      <w:lvlJc w:val="left"/>
      <w:pPr>
        <w:tabs>
          <w:tab w:val="num" w:pos="1440"/>
        </w:tabs>
        <w:ind w:left="1440" w:hanging="360"/>
      </w:pPr>
      <w:rPr>
        <w:rFonts w:ascii="宋体" w:hAnsi="宋体" w:hint="default"/>
      </w:rPr>
    </w:lvl>
    <w:lvl w:ilvl="2" w:tplc="EEB06706" w:tentative="1">
      <w:start w:val="1"/>
      <w:numFmt w:val="bullet"/>
      <w:lvlText w:val="–"/>
      <w:lvlJc w:val="left"/>
      <w:pPr>
        <w:tabs>
          <w:tab w:val="num" w:pos="2160"/>
        </w:tabs>
        <w:ind w:left="2160" w:hanging="360"/>
      </w:pPr>
      <w:rPr>
        <w:rFonts w:ascii="宋体" w:hAnsi="宋体" w:hint="default"/>
      </w:rPr>
    </w:lvl>
    <w:lvl w:ilvl="3" w:tplc="DABE5796" w:tentative="1">
      <w:start w:val="1"/>
      <w:numFmt w:val="bullet"/>
      <w:lvlText w:val="–"/>
      <w:lvlJc w:val="left"/>
      <w:pPr>
        <w:tabs>
          <w:tab w:val="num" w:pos="2880"/>
        </w:tabs>
        <w:ind w:left="2880" w:hanging="360"/>
      </w:pPr>
      <w:rPr>
        <w:rFonts w:ascii="宋体" w:hAnsi="宋体" w:hint="default"/>
      </w:rPr>
    </w:lvl>
    <w:lvl w:ilvl="4" w:tplc="69844D12" w:tentative="1">
      <w:start w:val="1"/>
      <w:numFmt w:val="bullet"/>
      <w:lvlText w:val="–"/>
      <w:lvlJc w:val="left"/>
      <w:pPr>
        <w:tabs>
          <w:tab w:val="num" w:pos="3600"/>
        </w:tabs>
        <w:ind w:left="3600" w:hanging="360"/>
      </w:pPr>
      <w:rPr>
        <w:rFonts w:ascii="宋体" w:hAnsi="宋体" w:hint="default"/>
      </w:rPr>
    </w:lvl>
    <w:lvl w:ilvl="5" w:tplc="36747D5C" w:tentative="1">
      <w:start w:val="1"/>
      <w:numFmt w:val="bullet"/>
      <w:lvlText w:val="–"/>
      <w:lvlJc w:val="left"/>
      <w:pPr>
        <w:tabs>
          <w:tab w:val="num" w:pos="4320"/>
        </w:tabs>
        <w:ind w:left="4320" w:hanging="360"/>
      </w:pPr>
      <w:rPr>
        <w:rFonts w:ascii="宋体" w:hAnsi="宋体" w:hint="default"/>
      </w:rPr>
    </w:lvl>
    <w:lvl w:ilvl="6" w:tplc="D0B06BCA" w:tentative="1">
      <w:start w:val="1"/>
      <w:numFmt w:val="bullet"/>
      <w:lvlText w:val="–"/>
      <w:lvlJc w:val="left"/>
      <w:pPr>
        <w:tabs>
          <w:tab w:val="num" w:pos="5040"/>
        </w:tabs>
        <w:ind w:left="5040" w:hanging="360"/>
      </w:pPr>
      <w:rPr>
        <w:rFonts w:ascii="宋体" w:hAnsi="宋体" w:hint="default"/>
      </w:rPr>
    </w:lvl>
    <w:lvl w:ilvl="7" w:tplc="9B8CF9C8" w:tentative="1">
      <w:start w:val="1"/>
      <w:numFmt w:val="bullet"/>
      <w:lvlText w:val="–"/>
      <w:lvlJc w:val="left"/>
      <w:pPr>
        <w:tabs>
          <w:tab w:val="num" w:pos="5760"/>
        </w:tabs>
        <w:ind w:left="5760" w:hanging="360"/>
      </w:pPr>
      <w:rPr>
        <w:rFonts w:ascii="宋体" w:hAnsi="宋体" w:hint="default"/>
      </w:rPr>
    </w:lvl>
    <w:lvl w:ilvl="8" w:tplc="F30810A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531AB"/>
    <w:multiLevelType w:val="hybridMultilevel"/>
    <w:tmpl w:val="4CD6FB7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120843"/>
    <w:multiLevelType w:val="hybridMultilevel"/>
    <w:tmpl w:val="52D08C0A"/>
    <w:lvl w:ilvl="0" w:tplc="F0324C92">
      <w:start w:val="1"/>
      <w:numFmt w:val="bullet"/>
      <w:lvlText w:val="•"/>
      <w:lvlJc w:val="left"/>
      <w:pPr>
        <w:tabs>
          <w:tab w:val="num" w:pos="720"/>
        </w:tabs>
        <w:ind w:left="720" w:hanging="360"/>
      </w:pPr>
      <w:rPr>
        <w:rFonts w:ascii="Arial" w:hAnsi="Arial" w:hint="default"/>
      </w:rPr>
    </w:lvl>
    <w:lvl w:ilvl="1" w:tplc="E3A007CE">
      <w:start w:val="1"/>
      <w:numFmt w:val="bullet"/>
      <w:lvlText w:val="•"/>
      <w:lvlJc w:val="left"/>
      <w:pPr>
        <w:tabs>
          <w:tab w:val="num" w:pos="1440"/>
        </w:tabs>
        <w:ind w:left="1440" w:hanging="360"/>
      </w:pPr>
      <w:rPr>
        <w:rFonts w:ascii="Arial" w:hAnsi="Arial" w:hint="default"/>
      </w:rPr>
    </w:lvl>
    <w:lvl w:ilvl="2" w:tplc="E60009C6" w:tentative="1">
      <w:start w:val="1"/>
      <w:numFmt w:val="bullet"/>
      <w:lvlText w:val="•"/>
      <w:lvlJc w:val="left"/>
      <w:pPr>
        <w:tabs>
          <w:tab w:val="num" w:pos="2160"/>
        </w:tabs>
        <w:ind w:left="2160" w:hanging="360"/>
      </w:pPr>
      <w:rPr>
        <w:rFonts w:ascii="Arial" w:hAnsi="Arial" w:hint="default"/>
      </w:rPr>
    </w:lvl>
    <w:lvl w:ilvl="3" w:tplc="65E6A38A" w:tentative="1">
      <w:start w:val="1"/>
      <w:numFmt w:val="bullet"/>
      <w:lvlText w:val="•"/>
      <w:lvlJc w:val="left"/>
      <w:pPr>
        <w:tabs>
          <w:tab w:val="num" w:pos="2880"/>
        </w:tabs>
        <w:ind w:left="2880" w:hanging="360"/>
      </w:pPr>
      <w:rPr>
        <w:rFonts w:ascii="Arial" w:hAnsi="Arial" w:hint="default"/>
      </w:rPr>
    </w:lvl>
    <w:lvl w:ilvl="4" w:tplc="665649B0" w:tentative="1">
      <w:start w:val="1"/>
      <w:numFmt w:val="bullet"/>
      <w:lvlText w:val="•"/>
      <w:lvlJc w:val="left"/>
      <w:pPr>
        <w:tabs>
          <w:tab w:val="num" w:pos="3600"/>
        </w:tabs>
        <w:ind w:left="3600" w:hanging="360"/>
      </w:pPr>
      <w:rPr>
        <w:rFonts w:ascii="Arial" w:hAnsi="Arial" w:hint="default"/>
      </w:rPr>
    </w:lvl>
    <w:lvl w:ilvl="5" w:tplc="48DC7AF8" w:tentative="1">
      <w:start w:val="1"/>
      <w:numFmt w:val="bullet"/>
      <w:lvlText w:val="•"/>
      <w:lvlJc w:val="left"/>
      <w:pPr>
        <w:tabs>
          <w:tab w:val="num" w:pos="4320"/>
        </w:tabs>
        <w:ind w:left="4320" w:hanging="360"/>
      </w:pPr>
      <w:rPr>
        <w:rFonts w:ascii="Arial" w:hAnsi="Arial" w:hint="default"/>
      </w:rPr>
    </w:lvl>
    <w:lvl w:ilvl="6" w:tplc="1766EBC0" w:tentative="1">
      <w:start w:val="1"/>
      <w:numFmt w:val="bullet"/>
      <w:lvlText w:val="•"/>
      <w:lvlJc w:val="left"/>
      <w:pPr>
        <w:tabs>
          <w:tab w:val="num" w:pos="5040"/>
        </w:tabs>
        <w:ind w:left="5040" w:hanging="360"/>
      </w:pPr>
      <w:rPr>
        <w:rFonts w:ascii="Arial" w:hAnsi="Arial" w:hint="default"/>
      </w:rPr>
    </w:lvl>
    <w:lvl w:ilvl="7" w:tplc="A1B64246" w:tentative="1">
      <w:start w:val="1"/>
      <w:numFmt w:val="bullet"/>
      <w:lvlText w:val="•"/>
      <w:lvlJc w:val="left"/>
      <w:pPr>
        <w:tabs>
          <w:tab w:val="num" w:pos="5760"/>
        </w:tabs>
        <w:ind w:left="5760" w:hanging="360"/>
      </w:pPr>
      <w:rPr>
        <w:rFonts w:ascii="Arial" w:hAnsi="Arial" w:hint="default"/>
      </w:rPr>
    </w:lvl>
    <w:lvl w:ilvl="8" w:tplc="08FE43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B0C1F5D"/>
    <w:multiLevelType w:val="hybridMultilevel"/>
    <w:tmpl w:val="C11247E0"/>
    <w:lvl w:ilvl="0" w:tplc="EB5481FA">
      <w:start w:val="1"/>
      <w:numFmt w:val="bullet"/>
      <w:lvlText w:val="–"/>
      <w:lvlJc w:val="left"/>
      <w:pPr>
        <w:tabs>
          <w:tab w:val="num" w:pos="720"/>
        </w:tabs>
        <w:ind w:left="720" w:hanging="360"/>
      </w:pPr>
      <w:rPr>
        <w:rFonts w:ascii="宋体" w:hAnsi="宋体" w:hint="default"/>
      </w:rPr>
    </w:lvl>
    <w:lvl w:ilvl="1" w:tplc="DA80DB82">
      <w:start w:val="1"/>
      <w:numFmt w:val="bullet"/>
      <w:lvlText w:val="–"/>
      <w:lvlJc w:val="left"/>
      <w:pPr>
        <w:tabs>
          <w:tab w:val="num" w:pos="1440"/>
        </w:tabs>
        <w:ind w:left="1440" w:hanging="360"/>
      </w:pPr>
      <w:rPr>
        <w:rFonts w:ascii="宋体" w:hAnsi="宋体" w:hint="default"/>
      </w:rPr>
    </w:lvl>
    <w:lvl w:ilvl="2" w:tplc="85244542" w:tentative="1">
      <w:start w:val="1"/>
      <w:numFmt w:val="bullet"/>
      <w:lvlText w:val="–"/>
      <w:lvlJc w:val="left"/>
      <w:pPr>
        <w:tabs>
          <w:tab w:val="num" w:pos="2160"/>
        </w:tabs>
        <w:ind w:left="2160" w:hanging="360"/>
      </w:pPr>
      <w:rPr>
        <w:rFonts w:ascii="宋体" w:hAnsi="宋体" w:hint="default"/>
      </w:rPr>
    </w:lvl>
    <w:lvl w:ilvl="3" w:tplc="54B2AA1E" w:tentative="1">
      <w:start w:val="1"/>
      <w:numFmt w:val="bullet"/>
      <w:lvlText w:val="–"/>
      <w:lvlJc w:val="left"/>
      <w:pPr>
        <w:tabs>
          <w:tab w:val="num" w:pos="2880"/>
        </w:tabs>
        <w:ind w:left="2880" w:hanging="360"/>
      </w:pPr>
      <w:rPr>
        <w:rFonts w:ascii="宋体" w:hAnsi="宋体" w:hint="default"/>
      </w:rPr>
    </w:lvl>
    <w:lvl w:ilvl="4" w:tplc="DE3AEBEA" w:tentative="1">
      <w:start w:val="1"/>
      <w:numFmt w:val="bullet"/>
      <w:lvlText w:val="–"/>
      <w:lvlJc w:val="left"/>
      <w:pPr>
        <w:tabs>
          <w:tab w:val="num" w:pos="3600"/>
        </w:tabs>
        <w:ind w:left="3600" w:hanging="360"/>
      </w:pPr>
      <w:rPr>
        <w:rFonts w:ascii="宋体" w:hAnsi="宋体" w:hint="default"/>
      </w:rPr>
    </w:lvl>
    <w:lvl w:ilvl="5" w:tplc="08563B84" w:tentative="1">
      <w:start w:val="1"/>
      <w:numFmt w:val="bullet"/>
      <w:lvlText w:val="–"/>
      <w:lvlJc w:val="left"/>
      <w:pPr>
        <w:tabs>
          <w:tab w:val="num" w:pos="4320"/>
        </w:tabs>
        <w:ind w:left="4320" w:hanging="360"/>
      </w:pPr>
      <w:rPr>
        <w:rFonts w:ascii="宋体" w:hAnsi="宋体" w:hint="default"/>
      </w:rPr>
    </w:lvl>
    <w:lvl w:ilvl="6" w:tplc="89167E6A" w:tentative="1">
      <w:start w:val="1"/>
      <w:numFmt w:val="bullet"/>
      <w:lvlText w:val="–"/>
      <w:lvlJc w:val="left"/>
      <w:pPr>
        <w:tabs>
          <w:tab w:val="num" w:pos="5040"/>
        </w:tabs>
        <w:ind w:left="5040" w:hanging="360"/>
      </w:pPr>
      <w:rPr>
        <w:rFonts w:ascii="宋体" w:hAnsi="宋体" w:hint="default"/>
      </w:rPr>
    </w:lvl>
    <w:lvl w:ilvl="7" w:tplc="0E567D50" w:tentative="1">
      <w:start w:val="1"/>
      <w:numFmt w:val="bullet"/>
      <w:lvlText w:val="–"/>
      <w:lvlJc w:val="left"/>
      <w:pPr>
        <w:tabs>
          <w:tab w:val="num" w:pos="5760"/>
        </w:tabs>
        <w:ind w:left="5760" w:hanging="360"/>
      </w:pPr>
      <w:rPr>
        <w:rFonts w:ascii="宋体" w:hAnsi="宋体" w:hint="default"/>
      </w:rPr>
    </w:lvl>
    <w:lvl w:ilvl="8" w:tplc="CC6008FC"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0806B69"/>
    <w:multiLevelType w:val="hybridMultilevel"/>
    <w:tmpl w:val="F0885A1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502650"/>
    <w:multiLevelType w:val="multilevel"/>
    <w:tmpl w:val="1CBA71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82300B8"/>
    <w:multiLevelType w:val="hybridMultilevel"/>
    <w:tmpl w:val="85FEC37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8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663C85"/>
    <w:multiLevelType w:val="multilevel"/>
    <w:tmpl w:val="002C1218"/>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16"/>
  </w:num>
  <w:num w:numId="3">
    <w:abstractNumId w:val="5"/>
  </w:num>
  <w:num w:numId="4">
    <w:abstractNumId w:val="4"/>
  </w:num>
  <w:num w:numId="5">
    <w:abstractNumId w:val="3"/>
  </w:num>
  <w:num w:numId="6">
    <w:abstractNumId w:val="23"/>
  </w:num>
  <w:num w:numId="7">
    <w:abstractNumId w:val="31"/>
  </w:num>
  <w:num w:numId="8">
    <w:abstractNumId w:val="33"/>
  </w:num>
  <w:num w:numId="9">
    <w:abstractNumId w:val="21"/>
  </w:num>
  <w:num w:numId="10">
    <w:abstractNumId w:val="22"/>
  </w:num>
  <w:num w:numId="11">
    <w:abstractNumId w:val="17"/>
  </w:num>
  <w:num w:numId="12">
    <w:abstractNumId w:val="32"/>
  </w:num>
  <w:num w:numId="13">
    <w:abstractNumId w:val="0"/>
  </w:num>
  <w:num w:numId="14">
    <w:abstractNumId w:val="8"/>
  </w:num>
  <w:num w:numId="15">
    <w:abstractNumId w:val="30"/>
  </w:num>
  <w:num w:numId="16">
    <w:abstractNumId w:val="28"/>
  </w:num>
  <w:num w:numId="17">
    <w:abstractNumId w:val="28"/>
  </w:num>
  <w:num w:numId="1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27"/>
  </w:num>
  <w:num w:numId="21">
    <w:abstractNumId w:val="19"/>
  </w:num>
  <w:num w:numId="22">
    <w:abstractNumId w:val="13"/>
  </w:num>
  <w:num w:numId="23">
    <w:abstractNumId w:val="29"/>
  </w:num>
  <w:num w:numId="24">
    <w:abstractNumId w:val="25"/>
  </w:num>
  <w:num w:numId="25">
    <w:abstractNumId w:val="28"/>
  </w:num>
  <w:num w:numId="26">
    <w:abstractNumId w:val="28"/>
  </w:num>
  <w:num w:numId="27">
    <w:abstractNumId w:val="26"/>
  </w:num>
  <w:num w:numId="28">
    <w:abstractNumId w:val="14"/>
  </w:num>
  <w:num w:numId="29">
    <w:abstractNumId w:val="2"/>
  </w:num>
  <w:num w:numId="30">
    <w:abstractNumId w:val="9"/>
  </w:num>
  <w:num w:numId="31">
    <w:abstractNumId w:val="1"/>
  </w:num>
  <w:num w:numId="32">
    <w:abstractNumId w:val="10"/>
  </w:num>
  <w:num w:numId="33">
    <w:abstractNumId w:val="15"/>
  </w:num>
  <w:num w:numId="34">
    <w:abstractNumId w:val="12"/>
  </w:num>
  <w:num w:numId="35">
    <w:abstractNumId w:val="24"/>
  </w:num>
  <w:num w:numId="36">
    <w:abstractNumId w:val="11"/>
  </w:num>
  <w:num w:numId="37">
    <w:abstractNumId w:val="18"/>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97A52"/>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6F09"/>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77C"/>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5A52"/>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4A697-119F-4C6C-AA2F-6ABDA8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Char"/>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aliases w:val="Lista1,中等深浅网格 1 - 着色 21,R4_bullets,列表段落1,—ño’i—Ž,¥¡¡¡¡ì¬º¥¹¥È¶ÎÂä,ÁÐ³ö¶ÎÂä,¥ê¥¹¥È¶ÎÂä,1st level - Bullet List Paragraph,Lettre d'introduction,Paragrafo elenco,Normal bullet 2"/>
    <w:basedOn w:val="a"/>
    <w:link w:val="Char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rsid w:val="00B956BB"/>
    <w:pPr>
      <w:overflowPunct w:val="0"/>
      <w:autoSpaceDE w:val="0"/>
      <w:autoSpaceDN w:val="0"/>
      <w:adjustRightInd w:val="0"/>
      <w:ind w:firstLineChars="200" w:firstLine="420"/>
      <w:textAlignment w:val="baseline"/>
    </w:pPr>
    <w:rPr>
      <w:sz w:val="20"/>
      <w:lang w:val="en-US" w:eastAsia="zh-CN"/>
    </w:rPr>
  </w:style>
  <w:style w:type="character" w:customStyle="1" w:styleId="Char3">
    <w:name w:val="列出段落 Char"/>
    <w:aliases w:val="Lista1 Char,中等深浅网格 1 - 着色 21 Char,R4_bullets Char,列表段落1 Char,—ño’i—Ž Char,¥¡¡¡¡ì¬º¥¹¥È¶ÎÂä Char,ÁÐ³ö¶ÎÂä Char,¥ê¥¹¥È¶ÎÂä Char,1st level - Bullet List Paragraph Char,Lettre d'introduction Char,Paragrafo elenco Char,Normal bullet 2 Char"/>
    <w:link w:val="affe"/>
    <w:uiPriority w:val="34"/>
    <w:qFormat/>
    <w:rsid w:val="00EB6E13"/>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41395">
      <w:bodyDiv w:val="1"/>
      <w:marLeft w:val="0"/>
      <w:marRight w:val="0"/>
      <w:marTop w:val="0"/>
      <w:marBottom w:val="0"/>
      <w:divBdr>
        <w:top w:val="none" w:sz="0" w:space="0" w:color="auto"/>
        <w:left w:val="none" w:sz="0" w:space="0" w:color="auto"/>
        <w:bottom w:val="none" w:sz="0" w:space="0" w:color="auto"/>
        <w:right w:val="none" w:sz="0" w:space="0" w:color="auto"/>
      </w:divBdr>
      <w:divsChild>
        <w:div w:id="497578910">
          <w:marLeft w:val="1166"/>
          <w:marRight w:val="0"/>
          <w:marTop w:val="0"/>
          <w:marBottom w:val="60"/>
          <w:divBdr>
            <w:top w:val="none" w:sz="0" w:space="0" w:color="auto"/>
            <w:left w:val="none" w:sz="0" w:space="0" w:color="auto"/>
            <w:bottom w:val="none" w:sz="0" w:space="0" w:color="auto"/>
            <w:right w:val="none" w:sz="0" w:space="0" w:color="auto"/>
          </w:divBdr>
        </w:div>
      </w:divsChild>
    </w:div>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310506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592200469">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707801678">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30034087">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30830798">
      <w:bodyDiv w:val="1"/>
      <w:marLeft w:val="0"/>
      <w:marRight w:val="0"/>
      <w:marTop w:val="0"/>
      <w:marBottom w:val="0"/>
      <w:divBdr>
        <w:top w:val="none" w:sz="0" w:space="0" w:color="auto"/>
        <w:left w:val="none" w:sz="0" w:space="0" w:color="auto"/>
        <w:bottom w:val="none" w:sz="0" w:space="0" w:color="auto"/>
        <w:right w:val="none" w:sz="0" w:space="0" w:color="auto"/>
      </w:divBdr>
      <w:divsChild>
        <w:div w:id="1363747605">
          <w:marLeft w:val="533"/>
          <w:marRight w:val="0"/>
          <w:marTop w:val="0"/>
          <w:marBottom w:val="60"/>
          <w:divBdr>
            <w:top w:val="none" w:sz="0" w:space="0" w:color="auto"/>
            <w:left w:val="none" w:sz="0" w:space="0" w:color="auto"/>
            <w:bottom w:val="none" w:sz="0" w:space="0" w:color="auto"/>
            <w:right w:val="none" w:sz="0" w:space="0" w:color="auto"/>
          </w:divBdr>
        </w:div>
        <w:div w:id="34550653">
          <w:marLeft w:val="1166"/>
          <w:marRight w:val="0"/>
          <w:marTop w:val="0"/>
          <w:marBottom w:val="60"/>
          <w:divBdr>
            <w:top w:val="none" w:sz="0" w:space="0" w:color="auto"/>
            <w:left w:val="none" w:sz="0" w:space="0" w:color="auto"/>
            <w:bottom w:val="none" w:sz="0" w:space="0" w:color="auto"/>
            <w:right w:val="none" w:sz="0" w:space="0" w:color="auto"/>
          </w:divBdr>
        </w:div>
        <w:div w:id="867108255">
          <w:marLeft w:val="1800"/>
          <w:marRight w:val="0"/>
          <w:marTop w:val="0"/>
          <w:marBottom w:val="60"/>
          <w:divBdr>
            <w:top w:val="none" w:sz="0" w:space="0" w:color="auto"/>
            <w:left w:val="none" w:sz="0" w:space="0" w:color="auto"/>
            <w:bottom w:val="none" w:sz="0" w:space="0" w:color="auto"/>
            <w:right w:val="none" w:sz="0" w:space="0" w:color="auto"/>
          </w:divBdr>
        </w:div>
        <w:div w:id="319894673">
          <w:marLeft w:val="2520"/>
          <w:marRight w:val="0"/>
          <w:marTop w:val="0"/>
          <w:marBottom w:val="60"/>
          <w:divBdr>
            <w:top w:val="none" w:sz="0" w:space="0" w:color="auto"/>
            <w:left w:val="none" w:sz="0" w:space="0" w:color="auto"/>
            <w:bottom w:val="none" w:sz="0" w:space="0" w:color="auto"/>
            <w:right w:val="none" w:sz="0" w:space="0" w:color="auto"/>
          </w:divBdr>
        </w:div>
        <w:div w:id="989484518">
          <w:marLeft w:val="2520"/>
          <w:marRight w:val="0"/>
          <w:marTop w:val="0"/>
          <w:marBottom w:val="60"/>
          <w:divBdr>
            <w:top w:val="none" w:sz="0" w:space="0" w:color="auto"/>
            <w:left w:val="none" w:sz="0" w:space="0" w:color="auto"/>
            <w:bottom w:val="none" w:sz="0" w:space="0" w:color="auto"/>
            <w:right w:val="none" w:sz="0" w:space="0" w:color="auto"/>
          </w:divBdr>
        </w:div>
        <w:div w:id="1819225017">
          <w:marLeft w:val="3240"/>
          <w:marRight w:val="0"/>
          <w:marTop w:val="0"/>
          <w:marBottom w:val="60"/>
          <w:divBdr>
            <w:top w:val="none" w:sz="0" w:space="0" w:color="auto"/>
            <w:left w:val="none" w:sz="0" w:space="0" w:color="auto"/>
            <w:bottom w:val="none" w:sz="0" w:space="0" w:color="auto"/>
            <w:right w:val="none" w:sz="0" w:space="0" w:color="auto"/>
          </w:divBdr>
        </w:div>
        <w:div w:id="870806741">
          <w:marLeft w:val="3240"/>
          <w:marRight w:val="0"/>
          <w:marTop w:val="0"/>
          <w:marBottom w:val="60"/>
          <w:divBdr>
            <w:top w:val="none" w:sz="0" w:space="0" w:color="auto"/>
            <w:left w:val="none" w:sz="0" w:space="0" w:color="auto"/>
            <w:bottom w:val="none" w:sz="0" w:space="0" w:color="auto"/>
            <w:right w:val="none" w:sz="0" w:space="0" w:color="auto"/>
          </w:divBdr>
        </w:div>
        <w:div w:id="488983606">
          <w:marLeft w:val="2520"/>
          <w:marRight w:val="0"/>
          <w:marTop w:val="0"/>
          <w:marBottom w:val="60"/>
          <w:divBdr>
            <w:top w:val="none" w:sz="0" w:space="0" w:color="auto"/>
            <w:left w:val="none" w:sz="0" w:space="0" w:color="auto"/>
            <w:bottom w:val="none" w:sz="0" w:space="0" w:color="auto"/>
            <w:right w:val="none" w:sz="0" w:space="0" w:color="auto"/>
          </w:divBdr>
        </w:div>
        <w:div w:id="573201140">
          <w:marLeft w:val="1800"/>
          <w:marRight w:val="0"/>
          <w:marTop w:val="0"/>
          <w:marBottom w:val="60"/>
          <w:divBdr>
            <w:top w:val="none" w:sz="0" w:space="0" w:color="auto"/>
            <w:left w:val="none" w:sz="0" w:space="0" w:color="auto"/>
            <w:bottom w:val="none" w:sz="0" w:space="0" w:color="auto"/>
            <w:right w:val="none" w:sz="0" w:space="0" w:color="auto"/>
          </w:divBdr>
        </w:div>
        <w:div w:id="1143814343">
          <w:marLeft w:val="2520"/>
          <w:marRight w:val="0"/>
          <w:marTop w:val="0"/>
          <w:marBottom w:val="60"/>
          <w:divBdr>
            <w:top w:val="none" w:sz="0" w:space="0" w:color="auto"/>
            <w:left w:val="none" w:sz="0" w:space="0" w:color="auto"/>
            <w:bottom w:val="none" w:sz="0" w:space="0" w:color="auto"/>
            <w:right w:val="none" w:sz="0" w:space="0" w:color="auto"/>
          </w:divBdr>
        </w:div>
        <w:div w:id="2059083756">
          <w:marLeft w:val="1800"/>
          <w:marRight w:val="0"/>
          <w:marTop w:val="0"/>
          <w:marBottom w:val="60"/>
          <w:divBdr>
            <w:top w:val="none" w:sz="0" w:space="0" w:color="auto"/>
            <w:left w:val="none" w:sz="0" w:space="0" w:color="auto"/>
            <w:bottom w:val="none" w:sz="0" w:space="0" w:color="auto"/>
            <w:right w:val="none" w:sz="0" w:space="0" w:color="auto"/>
          </w:divBdr>
        </w:div>
        <w:div w:id="1391224948">
          <w:marLeft w:val="1166"/>
          <w:marRight w:val="0"/>
          <w:marTop w:val="0"/>
          <w:marBottom w:val="60"/>
          <w:divBdr>
            <w:top w:val="none" w:sz="0" w:space="0" w:color="auto"/>
            <w:left w:val="none" w:sz="0" w:space="0" w:color="auto"/>
            <w:bottom w:val="none" w:sz="0" w:space="0" w:color="auto"/>
            <w:right w:val="none" w:sz="0" w:space="0" w:color="auto"/>
          </w:divBdr>
        </w:div>
        <w:div w:id="430977903">
          <w:marLeft w:val="1800"/>
          <w:marRight w:val="0"/>
          <w:marTop w:val="0"/>
          <w:marBottom w:val="60"/>
          <w:divBdr>
            <w:top w:val="none" w:sz="0" w:space="0" w:color="auto"/>
            <w:left w:val="none" w:sz="0" w:space="0" w:color="auto"/>
            <w:bottom w:val="none" w:sz="0" w:space="0" w:color="auto"/>
            <w:right w:val="none" w:sz="0" w:space="0" w:color="auto"/>
          </w:divBdr>
        </w:div>
        <w:div w:id="2097893407">
          <w:marLeft w:val="2520"/>
          <w:marRight w:val="0"/>
          <w:marTop w:val="0"/>
          <w:marBottom w:val="60"/>
          <w:divBdr>
            <w:top w:val="none" w:sz="0" w:space="0" w:color="auto"/>
            <w:left w:val="none" w:sz="0" w:space="0" w:color="auto"/>
            <w:bottom w:val="none" w:sz="0" w:space="0" w:color="auto"/>
            <w:right w:val="none" w:sz="0" w:space="0" w:color="auto"/>
          </w:divBdr>
        </w:div>
        <w:div w:id="1056397409">
          <w:marLeft w:val="1800"/>
          <w:marRight w:val="0"/>
          <w:marTop w:val="0"/>
          <w:marBottom w:val="60"/>
          <w:divBdr>
            <w:top w:val="none" w:sz="0" w:space="0" w:color="auto"/>
            <w:left w:val="none" w:sz="0" w:space="0" w:color="auto"/>
            <w:bottom w:val="none" w:sz="0" w:space="0" w:color="auto"/>
            <w:right w:val="none" w:sz="0" w:space="0" w:color="auto"/>
          </w:divBdr>
        </w:div>
        <w:div w:id="1037435353">
          <w:marLeft w:val="2520"/>
          <w:marRight w:val="0"/>
          <w:marTop w:val="0"/>
          <w:marBottom w:val="60"/>
          <w:divBdr>
            <w:top w:val="none" w:sz="0" w:space="0" w:color="auto"/>
            <w:left w:val="none" w:sz="0" w:space="0" w:color="auto"/>
            <w:bottom w:val="none" w:sz="0" w:space="0" w:color="auto"/>
            <w:right w:val="none" w:sz="0" w:space="0" w:color="auto"/>
          </w:divBdr>
        </w:div>
        <w:div w:id="1715423973">
          <w:marLeft w:val="2520"/>
          <w:marRight w:val="0"/>
          <w:marTop w:val="0"/>
          <w:marBottom w:val="60"/>
          <w:divBdr>
            <w:top w:val="none" w:sz="0" w:space="0" w:color="auto"/>
            <w:left w:val="none" w:sz="0" w:space="0" w:color="auto"/>
            <w:bottom w:val="none" w:sz="0" w:space="0" w:color="auto"/>
            <w:right w:val="none" w:sz="0" w:space="0" w:color="auto"/>
          </w:divBdr>
        </w:div>
        <w:div w:id="1224104789">
          <w:marLeft w:val="2520"/>
          <w:marRight w:val="0"/>
          <w:marTop w:val="0"/>
          <w:marBottom w:val="60"/>
          <w:divBdr>
            <w:top w:val="none" w:sz="0" w:space="0" w:color="auto"/>
            <w:left w:val="none" w:sz="0" w:space="0" w:color="auto"/>
            <w:bottom w:val="none" w:sz="0" w:space="0" w:color="auto"/>
            <w:right w:val="none" w:sz="0" w:space="0" w:color="auto"/>
          </w:divBdr>
        </w:div>
        <w:div w:id="1356006328">
          <w:marLeft w:val="1166"/>
          <w:marRight w:val="0"/>
          <w:marTop w:val="0"/>
          <w:marBottom w:val="60"/>
          <w:divBdr>
            <w:top w:val="none" w:sz="0" w:space="0" w:color="auto"/>
            <w:left w:val="none" w:sz="0" w:space="0" w:color="auto"/>
            <w:bottom w:val="none" w:sz="0" w:space="0" w:color="auto"/>
            <w:right w:val="none" w:sz="0" w:space="0" w:color="auto"/>
          </w:divBdr>
        </w:div>
        <w:div w:id="52433605">
          <w:marLeft w:val="1166"/>
          <w:marRight w:val="0"/>
          <w:marTop w:val="0"/>
          <w:marBottom w:val="60"/>
          <w:divBdr>
            <w:top w:val="none" w:sz="0" w:space="0" w:color="auto"/>
            <w:left w:val="none" w:sz="0" w:space="0" w:color="auto"/>
            <w:bottom w:val="none" w:sz="0" w:space="0" w:color="auto"/>
            <w:right w:val="none" w:sz="0" w:space="0" w:color="auto"/>
          </w:divBdr>
        </w:div>
        <w:div w:id="723331172">
          <w:marLeft w:val="533"/>
          <w:marRight w:val="0"/>
          <w:marTop w:val="0"/>
          <w:marBottom w:val="60"/>
          <w:divBdr>
            <w:top w:val="none" w:sz="0" w:space="0" w:color="auto"/>
            <w:left w:val="none" w:sz="0" w:space="0" w:color="auto"/>
            <w:bottom w:val="none" w:sz="0" w:space="0" w:color="auto"/>
            <w:right w:val="none" w:sz="0" w:space="0" w:color="auto"/>
          </w:divBdr>
        </w:div>
        <w:div w:id="472022009">
          <w:marLeft w:val="1166"/>
          <w:marRight w:val="0"/>
          <w:marTop w:val="0"/>
          <w:marBottom w:val="60"/>
          <w:divBdr>
            <w:top w:val="none" w:sz="0" w:space="0" w:color="auto"/>
            <w:left w:val="none" w:sz="0" w:space="0" w:color="auto"/>
            <w:bottom w:val="none" w:sz="0" w:space="0" w:color="auto"/>
            <w:right w:val="none" w:sz="0" w:space="0" w:color="auto"/>
          </w:divBdr>
        </w:div>
      </w:divsChild>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951548951">
      <w:bodyDiv w:val="1"/>
      <w:marLeft w:val="0"/>
      <w:marRight w:val="0"/>
      <w:marTop w:val="0"/>
      <w:marBottom w:val="0"/>
      <w:divBdr>
        <w:top w:val="none" w:sz="0" w:space="0" w:color="auto"/>
        <w:left w:val="none" w:sz="0" w:space="0" w:color="auto"/>
        <w:bottom w:val="none" w:sz="0" w:space="0" w:color="auto"/>
        <w:right w:val="none" w:sz="0" w:space="0" w:color="auto"/>
      </w:divBdr>
    </w:div>
    <w:div w:id="978531115">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057170241">
      <w:bodyDiv w:val="1"/>
      <w:marLeft w:val="0"/>
      <w:marRight w:val="0"/>
      <w:marTop w:val="0"/>
      <w:marBottom w:val="0"/>
      <w:divBdr>
        <w:top w:val="none" w:sz="0" w:space="0" w:color="auto"/>
        <w:left w:val="none" w:sz="0" w:space="0" w:color="auto"/>
        <w:bottom w:val="none" w:sz="0" w:space="0" w:color="auto"/>
        <w:right w:val="none" w:sz="0" w:space="0" w:color="auto"/>
      </w:divBdr>
    </w:div>
    <w:div w:id="1090155214">
      <w:bodyDiv w:val="1"/>
      <w:marLeft w:val="0"/>
      <w:marRight w:val="0"/>
      <w:marTop w:val="0"/>
      <w:marBottom w:val="0"/>
      <w:divBdr>
        <w:top w:val="none" w:sz="0" w:space="0" w:color="auto"/>
        <w:left w:val="none" w:sz="0" w:space="0" w:color="auto"/>
        <w:bottom w:val="none" w:sz="0" w:space="0" w:color="auto"/>
        <w:right w:val="none" w:sz="0" w:space="0" w:color="auto"/>
      </w:divBdr>
      <w:divsChild>
        <w:div w:id="1025212200">
          <w:marLeft w:val="994"/>
          <w:marRight w:val="0"/>
          <w:marTop w:val="60"/>
          <w:marBottom w:val="60"/>
          <w:divBdr>
            <w:top w:val="none" w:sz="0" w:space="0" w:color="auto"/>
            <w:left w:val="none" w:sz="0" w:space="0" w:color="auto"/>
            <w:bottom w:val="none" w:sz="0" w:space="0" w:color="auto"/>
            <w:right w:val="none" w:sz="0" w:space="0" w:color="auto"/>
          </w:divBdr>
        </w:div>
      </w:divsChild>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193692865">
      <w:bodyDiv w:val="1"/>
      <w:marLeft w:val="0"/>
      <w:marRight w:val="0"/>
      <w:marTop w:val="0"/>
      <w:marBottom w:val="0"/>
      <w:divBdr>
        <w:top w:val="none" w:sz="0" w:space="0" w:color="auto"/>
        <w:left w:val="none" w:sz="0" w:space="0" w:color="auto"/>
        <w:bottom w:val="none" w:sz="0" w:space="0" w:color="auto"/>
        <w:right w:val="none" w:sz="0" w:space="0" w:color="auto"/>
      </w:divBdr>
      <w:divsChild>
        <w:div w:id="1402555309">
          <w:marLeft w:val="994"/>
          <w:marRight w:val="0"/>
          <w:marTop w:val="60"/>
          <w:marBottom w:val="60"/>
          <w:divBdr>
            <w:top w:val="none" w:sz="0" w:space="0" w:color="auto"/>
            <w:left w:val="none" w:sz="0" w:space="0" w:color="auto"/>
            <w:bottom w:val="none" w:sz="0" w:space="0" w:color="auto"/>
            <w:right w:val="none" w:sz="0" w:space="0" w:color="auto"/>
          </w:divBdr>
        </w:div>
      </w:divsChild>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358892332">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529835396">
      <w:bodyDiv w:val="1"/>
      <w:marLeft w:val="0"/>
      <w:marRight w:val="0"/>
      <w:marTop w:val="0"/>
      <w:marBottom w:val="0"/>
      <w:divBdr>
        <w:top w:val="none" w:sz="0" w:space="0" w:color="auto"/>
        <w:left w:val="none" w:sz="0" w:space="0" w:color="auto"/>
        <w:bottom w:val="none" w:sz="0" w:space="0" w:color="auto"/>
        <w:right w:val="none" w:sz="0" w:space="0" w:color="auto"/>
      </w:divBdr>
      <w:divsChild>
        <w:div w:id="1198197489">
          <w:marLeft w:val="994"/>
          <w:marRight w:val="0"/>
          <w:marTop w:val="60"/>
          <w:marBottom w:val="60"/>
          <w:divBdr>
            <w:top w:val="none" w:sz="0" w:space="0" w:color="auto"/>
            <w:left w:val="none" w:sz="0" w:space="0" w:color="auto"/>
            <w:bottom w:val="none" w:sz="0" w:space="0" w:color="auto"/>
            <w:right w:val="none" w:sz="0" w:space="0" w:color="auto"/>
          </w:divBdr>
        </w:div>
      </w:divsChild>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1744569322">
      <w:bodyDiv w:val="1"/>
      <w:marLeft w:val="0"/>
      <w:marRight w:val="0"/>
      <w:marTop w:val="0"/>
      <w:marBottom w:val="0"/>
      <w:divBdr>
        <w:top w:val="none" w:sz="0" w:space="0" w:color="auto"/>
        <w:left w:val="none" w:sz="0" w:space="0" w:color="auto"/>
        <w:bottom w:val="none" w:sz="0" w:space="0" w:color="auto"/>
        <w:right w:val="none" w:sz="0" w:space="0" w:color="auto"/>
      </w:divBdr>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3367</TotalTime>
  <Pages>2</Pages>
  <Words>646</Words>
  <Characters>3687</Characters>
  <Application>Microsoft Office Word</Application>
  <DocSecurity>0</DocSecurity>
  <Lines>30</Lines>
  <Paragraphs>8</Paragraphs>
  <ScaleCrop>false</ScaleCrop>
  <Company>ZTE</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cp:lastModifiedBy>
  <cp:revision>155</cp:revision>
  <cp:lastPrinted>2019-05-07T07:50:00Z</cp:lastPrinted>
  <dcterms:created xsi:type="dcterms:W3CDTF">2021-10-16T15:17:00Z</dcterms:created>
  <dcterms:modified xsi:type="dcterms:W3CDTF">2023-09-27T16:43:00Z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